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495"/>
        <w:gridCol w:w="3793"/>
      </w:tblGrid>
      <w:tr w:rsidR="009D600F" w14:paraId="75E8B54C" w14:textId="77777777">
        <w:tc>
          <w:tcPr>
            <w:tcW w:w="5495" w:type="dxa"/>
            <w:tcBorders>
              <w:top w:val="nil"/>
              <w:left w:val="nil"/>
              <w:bottom w:val="nil"/>
              <w:right w:val="nil"/>
            </w:tcBorders>
          </w:tcPr>
          <w:p w14:paraId="035B1208" w14:textId="77777777" w:rsidR="009D600F" w:rsidRDefault="005A6362">
            <w:pPr>
              <w:ind w:right="397"/>
              <w:jc w:val="both"/>
              <w:rPr>
                <w:b/>
                <w:bCs/>
              </w:rPr>
            </w:pPr>
            <w:r>
              <w:rPr>
                <w:b/>
                <w:bCs/>
              </w:rPr>
              <w:t>WEST AREA PLANNING COMMITTEE</w:t>
            </w:r>
          </w:p>
        </w:tc>
        <w:tc>
          <w:tcPr>
            <w:tcW w:w="3793" w:type="dxa"/>
            <w:tcBorders>
              <w:top w:val="nil"/>
              <w:left w:val="nil"/>
              <w:bottom w:val="nil"/>
              <w:right w:val="nil"/>
            </w:tcBorders>
          </w:tcPr>
          <w:p w14:paraId="57CF6883" w14:textId="77777777" w:rsidR="009D600F" w:rsidRDefault="005A6362">
            <w:pPr>
              <w:ind w:right="398"/>
              <w:jc w:val="both"/>
              <w:rPr>
                <w:sz w:val="22"/>
                <w:szCs w:val="22"/>
              </w:rPr>
            </w:pPr>
            <w:r>
              <w:t>09 March 2021</w:t>
            </w:r>
          </w:p>
          <w:p w14:paraId="4AE95EDA" w14:textId="77777777" w:rsidR="009D600F" w:rsidRDefault="009D600F">
            <w:pPr>
              <w:ind w:right="397"/>
              <w:jc w:val="both"/>
            </w:pPr>
          </w:p>
        </w:tc>
      </w:tr>
    </w:tbl>
    <w:p w14:paraId="7B801838" w14:textId="77777777" w:rsidR="009D600F" w:rsidRDefault="009D600F"/>
    <w:tbl>
      <w:tblPr>
        <w:tblW w:w="0" w:type="auto"/>
        <w:tblLook w:val="0000" w:firstRow="0" w:lastRow="0" w:firstColumn="0" w:lastColumn="0" w:noHBand="0" w:noVBand="0"/>
      </w:tblPr>
      <w:tblGrid>
        <w:gridCol w:w="1093"/>
        <w:gridCol w:w="1521"/>
        <w:gridCol w:w="1932"/>
        <w:gridCol w:w="1388"/>
        <w:gridCol w:w="3139"/>
      </w:tblGrid>
      <w:tr w:rsidR="009D600F" w14:paraId="38151B6F" w14:textId="77777777">
        <w:tc>
          <w:tcPr>
            <w:tcW w:w="2660" w:type="dxa"/>
            <w:gridSpan w:val="2"/>
            <w:tcBorders>
              <w:top w:val="nil"/>
              <w:left w:val="nil"/>
              <w:bottom w:val="nil"/>
              <w:right w:val="nil"/>
            </w:tcBorders>
          </w:tcPr>
          <w:p w14:paraId="7C2E2708" w14:textId="77777777" w:rsidR="009D600F" w:rsidRDefault="009D600F">
            <w:pPr>
              <w:jc w:val="right"/>
            </w:pPr>
            <w:r>
              <w:rPr>
                <w:b/>
                <w:bCs/>
              </w:rPr>
              <w:t>Order Name:</w:t>
            </w:r>
          </w:p>
        </w:tc>
        <w:tc>
          <w:tcPr>
            <w:tcW w:w="6627" w:type="dxa"/>
            <w:gridSpan w:val="3"/>
            <w:tcBorders>
              <w:top w:val="nil"/>
              <w:left w:val="nil"/>
              <w:bottom w:val="nil"/>
              <w:right w:val="nil"/>
            </w:tcBorders>
          </w:tcPr>
          <w:p w14:paraId="119C6681" w14:textId="77777777" w:rsidR="009D600F" w:rsidRDefault="009D600F" w:rsidP="00246A95">
            <w:r>
              <w:t>Oxford City Council - Hawkswell Gardens (No.2) T</w:t>
            </w:r>
            <w:r w:rsidR="00246A95">
              <w:t xml:space="preserve">ree </w:t>
            </w:r>
            <w:r>
              <w:t>P</w:t>
            </w:r>
            <w:r w:rsidR="00246A95">
              <w:t>reservation Order,</w:t>
            </w:r>
            <w:r>
              <w:t xml:space="preserve"> 2020</w:t>
            </w:r>
          </w:p>
        </w:tc>
      </w:tr>
      <w:tr w:rsidR="009D600F" w14:paraId="4604F116" w14:textId="77777777">
        <w:tc>
          <w:tcPr>
            <w:tcW w:w="2660" w:type="dxa"/>
            <w:gridSpan w:val="2"/>
            <w:tcBorders>
              <w:top w:val="nil"/>
              <w:left w:val="nil"/>
              <w:bottom w:val="nil"/>
              <w:right w:val="nil"/>
            </w:tcBorders>
          </w:tcPr>
          <w:p w14:paraId="1CCA507C" w14:textId="77777777" w:rsidR="009D600F" w:rsidRDefault="009D600F">
            <w:pPr>
              <w:jc w:val="right"/>
            </w:pPr>
          </w:p>
        </w:tc>
        <w:tc>
          <w:tcPr>
            <w:tcW w:w="6627" w:type="dxa"/>
            <w:gridSpan w:val="3"/>
            <w:tcBorders>
              <w:top w:val="nil"/>
              <w:left w:val="nil"/>
              <w:bottom w:val="nil"/>
              <w:right w:val="nil"/>
            </w:tcBorders>
          </w:tcPr>
          <w:p w14:paraId="187E72C0" w14:textId="77777777" w:rsidR="009D600F" w:rsidRDefault="009D600F"/>
        </w:tc>
      </w:tr>
      <w:tr w:rsidR="009D600F" w14:paraId="68BEF13E" w14:textId="77777777">
        <w:tc>
          <w:tcPr>
            <w:tcW w:w="2660" w:type="dxa"/>
            <w:gridSpan w:val="2"/>
            <w:tcBorders>
              <w:top w:val="nil"/>
              <w:left w:val="nil"/>
              <w:bottom w:val="nil"/>
              <w:right w:val="nil"/>
            </w:tcBorders>
          </w:tcPr>
          <w:p w14:paraId="46A1C1D1" w14:textId="77777777" w:rsidR="009D600F" w:rsidRDefault="009D600F">
            <w:pPr>
              <w:jc w:val="right"/>
            </w:pPr>
            <w:r>
              <w:rPr>
                <w:b/>
                <w:bCs/>
              </w:rPr>
              <w:t>Decision Due by:</w:t>
            </w:r>
          </w:p>
        </w:tc>
        <w:tc>
          <w:tcPr>
            <w:tcW w:w="6627" w:type="dxa"/>
            <w:gridSpan w:val="3"/>
            <w:tcBorders>
              <w:top w:val="nil"/>
              <w:left w:val="nil"/>
              <w:bottom w:val="nil"/>
              <w:right w:val="nil"/>
            </w:tcBorders>
          </w:tcPr>
          <w:p w14:paraId="46954D2F" w14:textId="77777777" w:rsidR="009D600F" w:rsidRDefault="006C513E">
            <w:pPr>
              <w:pStyle w:val="Header"/>
              <w:tabs>
                <w:tab w:val="clear" w:pos="4153"/>
                <w:tab w:val="clear" w:pos="8306"/>
              </w:tabs>
            </w:pPr>
            <w:r>
              <w:t>05</w:t>
            </w:r>
            <w:r w:rsidR="00060C0F">
              <w:t xml:space="preserve"> April 2021</w:t>
            </w:r>
          </w:p>
        </w:tc>
      </w:tr>
      <w:tr w:rsidR="009D600F" w14:paraId="320D357D" w14:textId="77777777">
        <w:tc>
          <w:tcPr>
            <w:tcW w:w="2660" w:type="dxa"/>
            <w:gridSpan w:val="2"/>
            <w:tcBorders>
              <w:top w:val="nil"/>
              <w:left w:val="nil"/>
              <w:bottom w:val="nil"/>
              <w:right w:val="nil"/>
            </w:tcBorders>
          </w:tcPr>
          <w:p w14:paraId="0039CA51" w14:textId="77777777" w:rsidR="009D600F" w:rsidRDefault="009D600F">
            <w:pPr>
              <w:jc w:val="right"/>
              <w:rPr>
                <w:b/>
                <w:bCs/>
              </w:rPr>
            </w:pPr>
          </w:p>
        </w:tc>
        <w:tc>
          <w:tcPr>
            <w:tcW w:w="6627" w:type="dxa"/>
            <w:gridSpan w:val="3"/>
            <w:tcBorders>
              <w:top w:val="nil"/>
              <w:left w:val="nil"/>
              <w:bottom w:val="nil"/>
              <w:right w:val="nil"/>
            </w:tcBorders>
          </w:tcPr>
          <w:p w14:paraId="44134364" w14:textId="77777777" w:rsidR="009D600F" w:rsidRDefault="009D600F"/>
        </w:tc>
      </w:tr>
      <w:tr w:rsidR="009D600F" w14:paraId="7D0FE6F3" w14:textId="77777777">
        <w:tc>
          <w:tcPr>
            <w:tcW w:w="2660" w:type="dxa"/>
            <w:gridSpan w:val="2"/>
            <w:tcBorders>
              <w:top w:val="nil"/>
              <w:left w:val="nil"/>
              <w:bottom w:val="nil"/>
              <w:right w:val="nil"/>
            </w:tcBorders>
          </w:tcPr>
          <w:p w14:paraId="3FC9BC53" w14:textId="77777777" w:rsidR="009D600F" w:rsidRDefault="009D600F">
            <w:pPr>
              <w:jc w:val="right"/>
              <w:rPr>
                <w:b/>
                <w:bCs/>
              </w:rPr>
            </w:pPr>
            <w:r>
              <w:rPr>
                <w:b/>
                <w:bCs/>
              </w:rPr>
              <w:t>Site Address:</w:t>
            </w:r>
          </w:p>
        </w:tc>
        <w:tc>
          <w:tcPr>
            <w:tcW w:w="6627" w:type="dxa"/>
            <w:gridSpan w:val="3"/>
            <w:tcBorders>
              <w:top w:val="nil"/>
              <w:left w:val="nil"/>
              <w:bottom w:val="nil"/>
              <w:right w:val="nil"/>
            </w:tcBorders>
          </w:tcPr>
          <w:p w14:paraId="394A93AB" w14:textId="77777777" w:rsidR="009D600F" w:rsidRDefault="009D600F">
            <w:r>
              <w:t>Land At Hawkswell Gardens Near The Junction With King's Cross Road Oxford</w:t>
            </w:r>
          </w:p>
        </w:tc>
      </w:tr>
      <w:tr w:rsidR="009D600F" w14:paraId="29DDA05F" w14:textId="77777777">
        <w:tc>
          <w:tcPr>
            <w:tcW w:w="2660" w:type="dxa"/>
            <w:gridSpan w:val="2"/>
            <w:tcBorders>
              <w:top w:val="nil"/>
              <w:left w:val="nil"/>
              <w:bottom w:val="nil"/>
              <w:right w:val="nil"/>
            </w:tcBorders>
          </w:tcPr>
          <w:p w14:paraId="661C04B1" w14:textId="77777777" w:rsidR="009D600F" w:rsidRDefault="009D600F">
            <w:pPr>
              <w:jc w:val="right"/>
            </w:pPr>
          </w:p>
        </w:tc>
        <w:tc>
          <w:tcPr>
            <w:tcW w:w="6627" w:type="dxa"/>
            <w:gridSpan w:val="3"/>
            <w:tcBorders>
              <w:top w:val="nil"/>
              <w:left w:val="nil"/>
              <w:bottom w:val="nil"/>
              <w:right w:val="nil"/>
            </w:tcBorders>
          </w:tcPr>
          <w:p w14:paraId="5BECE36C" w14:textId="77777777" w:rsidR="009D600F" w:rsidRDefault="009D600F"/>
        </w:tc>
      </w:tr>
      <w:tr w:rsidR="009D600F" w14:paraId="34B39B5D" w14:textId="77777777">
        <w:tc>
          <w:tcPr>
            <w:tcW w:w="2660" w:type="dxa"/>
            <w:gridSpan w:val="2"/>
            <w:tcBorders>
              <w:top w:val="nil"/>
              <w:left w:val="nil"/>
              <w:bottom w:val="nil"/>
              <w:right w:val="nil"/>
            </w:tcBorders>
          </w:tcPr>
          <w:p w14:paraId="365E12D6" w14:textId="77777777" w:rsidR="009D600F" w:rsidRDefault="009D600F">
            <w:pPr>
              <w:jc w:val="right"/>
              <w:rPr>
                <w:b/>
                <w:bCs/>
              </w:rPr>
            </w:pPr>
            <w:r>
              <w:rPr>
                <w:b/>
                <w:bCs/>
              </w:rPr>
              <w:t>Ward:</w:t>
            </w:r>
          </w:p>
        </w:tc>
        <w:tc>
          <w:tcPr>
            <w:tcW w:w="6627" w:type="dxa"/>
            <w:gridSpan w:val="3"/>
            <w:tcBorders>
              <w:top w:val="nil"/>
              <w:left w:val="nil"/>
              <w:bottom w:val="nil"/>
              <w:right w:val="nil"/>
            </w:tcBorders>
          </w:tcPr>
          <w:p w14:paraId="520569AB" w14:textId="77777777" w:rsidR="009D600F" w:rsidRDefault="009D600F">
            <w:r>
              <w:t>Summertown Ward</w:t>
            </w:r>
          </w:p>
        </w:tc>
      </w:tr>
      <w:tr w:rsidR="009D600F" w14:paraId="7E6A3B3C" w14:textId="77777777">
        <w:tc>
          <w:tcPr>
            <w:tcW w:w="1101" w:type="dxa"/>
            <w:tcBorders>
              <w:top w:val="nil"/>
              <w:left w:val="nil"/>
              <w:bottom w:val="nil"/>
              <w:right w:val="nil"/>
            </w:tcBorders>
          </w:tcPr>
          <w:p w14:paraId="695C1B3F" w14:textId="77777777" w:rsidR="009D600F" w:rsidRDefault="009D600F"/>
        </w:tc>
        <w:tc>
          <w:tcPr>
            <w:tcW w:w="3543" w:type="dxa"/>
            <w:gridSpan w:val="2"/>
            <w:tcBorders>
              <w:top w:val="nil"/>
              <w:left w:val="nil"/>
              <w:bottom w:val="nil"/>
              <w:right w:val="nil"/>
            </w:tcBorders>
          </w:tcPr>
          <w:p w14:paraId="0D8E1F46" w14:textId="77777777" w:rsidR="009D600F" w:rsidRDefault="009D600F">
            <w:pPr>
              <w:pStyle w:val="Header"/>
              <w:tabs>
                <w:tab w:val="clear" w:pos="4153"/>
                <w:tab w:val="clear" w:pos="8306"/>
              </w:tabs>
            </w:pPr>
          </w:p>
        </w:tc>
        <w:tc>
          <w:tcPr>
            <w:tcW w:w="1418" w:type="dxa"/>
            <w:tcBorders>
              <w:top w:val="nil"/>
              <w:left w:val="nil"/>
              <w:bottom w:val="nil"/>
              <w:right w:val="nil"/>
            </w:tcBorders>
          </w:tcPr>
          <w:p w14:paraId="20527CAD" w14:textId="77777777" w:rsidR="009D600F" w:rsidRDefault="009D600F"/>
        </w:tc>
        <w:tc>
          <w:tcPr>
            <w:tcW w:w="3226" w:type="dxa"/>
            <w:tcBorders>
              <w:top w:val="nil"/>
              <w:left w:val="nil"/>
              <w:bottom w:val="nil"/>
              <w:right w:val="nil"/>
            </w:tcBorders>
          </w:tcPr>
          <w:p w14:paraId="1785ADD3" w14:textId="77777777" w:rsidR="009D600F" w:rsidRDefault="009D600F">
            <w:pPr>
              <w:pStyle w:val="Header"/>
              <w:tabs>
                <w:tab w:val="clear" w:pos="4153"/>
                <w:tab w:val="clear" w:pos="8306"/>
              </w:tabs>
            </w:pPr>
          </w:p>
        </w:tc>
      </w:tr>
    </w:tbl>
    <w:p w14:paraId="4C6F66DB" w14:textId="77777777" w:rsidR="009D600F" w:rsidRDefault="005A6362" w:rsidP="005A6362">
      <w:r>
        <w:rPr>
          <w:b/>
          <w:bCs/>
        </w:rPr>
        <w:t xml:space="preserve">Reason at Committee: </w:t>
      </w:r>
      <w:r w:rsidRPr="005A6362">
        <w:rPr>
          <w:bCs/>
        </w:rPr>
        <w:t>Objection received</w:t>
      </w:r>
    </w:p>
    <w:p w14:paraId="68C9B559" w14:textId="77777777" w:rsidR="009D600F" w:rsidRDefault="009D600F">
      <w:pPr>
        <w:pBdr>
          <w:bottom w:val="single" w:sz="4" w:space="1" w:color="auto"/>
        </w:pBdr>
      </w:pPr>
    </w:p>
    <w:p w14:paraId="1D3F16B6" w14:textId="77777777" w:rsidR="009D600F" w:rsidRDefault="009D600F">
      <w:pPr>
        <w:pStyle w:val="Header"/>
        <w:tabs>
          <w:tab w:val="left" w:pos="720"/>
        </w:tabs>
      </w:pPr>
    </w:p>
    <w:p w14:paraId="185715DE" w14:textId="77777777" w:rsidR="00246A95" w:rsidRPr="00AE39CF" w:rsidRDefault="009D600F" w:rsidP="00246A95">
      <w:pPr>
        <w:numPr>
          <w:ilvl w:val="0"/>
          <w:numId w:val="1"/>
        </w:numPr>
        <w:jc w:val="both"/>
      </w:pPr>
      <w:r w:rsidRPr="00246A95">
        <w:rPr>
          <w:b/>
          <w:bCs/>
        </w:rPr>
        <w:t>Recommendation:</w:t>
      </w:r>
      <w:r w:rsidR="005A6362" w:rsidRPr="00246A95">
        <w:rPr>
          <w:b/>
          <w:bCs/>
        </w:rPr>
        <w:t xml:space="preserve"> </w:t>
      </w:r>
    </w:p>
    <w:p w14:paraId="7318F3BC" w14:textId="77777777" w:rsidR="00AE39CF" w:rsidRPr="00246A95" w:rsidRDefault="00AE39CF" w:rsidP="00AE39CF">
      <w:pPr>
        <w:ind w:left="360"/>
        <w:jc w:val="both"/>
      </w:pPr>
    </w:p>
    <w:p w14:paraId="5FEE9FA4" w14:textId="77777777" w:rsidR="009D600F" w:rsidRPr="00016869" w:rsidRDefault="00246A95" w:rsidP="00246A95">
      <w:pPr>
        <w:numPr>
          <w:ilvl w:val="1"/>
          <w:numId w:val="1"/>
        </w:numPr>
        <w:jc w:val="both"/>
      </w:pPr>
      <w:r w:rsidRPr="00246A95">
        <w:rPr>
          <w:b/>
          <w:bCs/>
        </w:rPr>
        <w:t xml:space="preserve"> </w:t>
      </w:r>
      <w:r w:rsidRPr="00246A95">
        <w:rPr>
          <w:bCs/>
        </w:rPr>
        <w:t xml:space="preserve">West Area Planning Committee is recommended to </w:t>
      </w:r>
      <w:r>
        <w:rPr>
          <w:bCs/>
        </w:rPr>
        <w:t>confirm without modification the Oxford City Council – Hawkswell Gardens (No.2) TPO</w:t>
      </w:r>
      <w:r w:rsidR="00FF2F08">
        <w:rPr>
          <w:bCs/>
        </w:rPr>
        <w:t xml:space="preserve">, </w:t>
      </w:r>
      <w:r>
        <w:rPr>
          <w:bCs/>
        </w:rPr>
        <w:t>2020.</w:t>
      </w:r>
    </w:p>
    <w:p w14:paraId="606F470B" w14:textId="77777777" w:rsidR="00016869" w:rsidRPr="00246A95" w:rsidRDefault="00016869" w:rsidP="00016869">
      <w:pPr>
        <w:jc w:val="both"/>
      </w:pPr>
    </w:p>
    <w:p w14:paraId="2805637D" w14:textId="77777777" w:rsidR="00246A95" w:rsidRPr="00AE39CF" w:rsidRDefault="00060C0F" w:rsidP="00246A95">
      <w:pPr>
        <w:numPr>
          <w:ilvl w:val="0"/>
          <w:numId w:val="1"/>
        </w:numPr>
        <w:jc w:val="both"/>
        <w:rPr>
          <w:b/>
          <w:bCs/>
          <w:lang w:val="en-GB"/>
        </w:rPr>
      </w:pPr>
      <w:r>
        <w:rPr>
          <w:b/>
          <w:bCs/>
        </w:rPr>
        <w:t>Background</w:t>
      </w:r>
      <w:r w:rsidR="00246A95" w:rsidRPr="00246A95">
        <w:rPr>
          <w:b/>
          <w:bCs/>
        </w:rPr>
        <w:t>:</w:t>
      </w:r>
    </w:p>
    <w:p w14:paraId="1F4B57DA" w14:textId="77777777" w:rsidR="00AE39CF" w:rsidRPr="00246A95" w:rsidRDefault="00AE39CF" w:rsidP="00AE39CF">
      <w:pPr>
        <w:ind w:left="360"/>
        <w:jc w:val="both"/>
        <w:rPr>
          <w:b/>
          <w:bCs/>
          <w:lang w:val="en-GB"/>
        </w:rPr>
      </w:pPr>
    </w:p>
    <w:p w14:paraId="71C67ADD" w14:textId="201FF765" w:rsidR="00246A95" w:rsidRDefault="00FF2F08" w:rsidP="00246A95">
      <w:pPr>
        <w:numPr>
          <w:ilvl w:val="1"/>
          <w:numId w:val="1"/>
        </w:numPr>
        <w:jc w:val="both"/>
        <w:rPr>
          <w:bCs/>
          <w:lang w:val="en-GB"/>
        </w:rPr>
      </w:pPr>
      <w:r w:rsidRPr="00FF2F08">
        <w:rPr>
          <w:bCs/>
          <w:lang w:val="en-GB"/>
        </w:rPr>
        <w:t>Oxford City Council</w:t>
      </w:r>
      <w:r>
        <w:rPr>
          <w:bCs/>
          <w:lang w:val="en-GB"/>
        </w:rPr>
        <w:t xml:space="preserve"> – Hawkswell Gardens (No.2) TPO, 2020 was made on </w:t>
      </w:r>
      <w:r w:rsidR="00AE39CF">
        <w:rPr>
          <w:bCs/>
          <w:lang w:val="en-GB"/>
        </w:rPr>
        <w:t>06 October 2020.</w:t>
      </w:r>
    </w:p>
    <w:p w14:paraId="3706EF88" w14:textId="77777777" w:rsidR="00AE39CF" w:rsidRDefault="00AE39CF" w:rsidP="00AE39CF">
      <w:pPr>
        <w:ind w:left="792"/>
        <w:jc w:val="both"/>
        <w:rPr>
          <w:bCs/>
          <w:lang w:val="en-GB"/>
        </w:rPr>
      </w:pPr>
    </w:p>
    <w:p w14:paraId="666462EC" w14:textId="77777777" w:rsidR="00060C0F" w:rsidRDefault="00060C0F" w:rsidP="00246A95">
      <w:pPr>
        <w:numPr>
          <w:ilvl w:val="1"/>
          <w:numId w:val="1"/>
        </w:numPr>
        <w:jc w:val="both"/>
        <w:rPr>
          <w:bCs/>
          <w:lang w:val="en-GB"/>
        </w:rPr>
      </w:pPr>
      <w:r>
        <w:rPr>
          <w:bCs/>
          <w:lang w:val="en-GB"/>
        </w:rPr>
        <w:t>It protects a copper beech tree, T.1, and a cedar tree, T.2, on land at Hawkswell Gardens near the Junction with King’s Cross Road, Oxford (refer location plan below).</w:t>
      </w:r>
    </w:p>
    <w:p w14:paraId="0562A002" w14:textId="77777777" w:rsidR="00AE39CF" w:rsidRDefault="00AE39CF" w:rsidP="00AE39CF">
      <w:pPr>
        <w:jc w:val="both"/>
        <w:rPr>
          <w:bCs/>
          <w:lang w:val="en-GB"/>
        </w:rPr>
      </w:pPr>
    </w:p>
    <w:p w14:paraId="3433F4A4" w14:textId="77777777" w:rsidR="00060C0F" w:rsidRDefault="00060C0F" w:rsidP="00246A95">
      <w:pPr>
        <w:numPr>
          <w:ilvl w:val="1"/>
          <w:numId w:val="1"/>
        </w:numPr>
        <w:jc w:val="both"/>
        <w:rPr>
          <w:bCs/>
          <w:lang w:val="en-GB"/>
        </w:rPr>
      </w:pPr>
      <w:r>
        <w:rPr>
          <w:bCs/>
          <w:lang w:val="en-GB"/>
        </w:rPr>
        <w:t>The reason</w:t>
      </w:r>
      <w:r w:rsidR="006C454B">
        <w:rPr>
          <w:bCs/>
          <w:lang w:val="en-GB"/>
        </w:rPr>
        <w:t xml:space="preserve">s given for </w:t>
      </w:r>
      <w:r w:rsidR="00366DAC">
        <w:rPr>
          <w:bCs/>
          <w:lang w:val="en-GB"/>
        </w:rPr>
        <w:t xml:space="preserve">making </w:t>
      </w:r>
      <w:r w:rsidR="006C454B">
        <w:rPr>
          <w:bCs/>
          <w:lang w:val="en-GB"/>
        </w:rPr>
        <w:t>the T</w:t>
      </w:r>
      <w:r w:rsidR="00366DAC">
        <w:rPr>
          <w:bCs/>
          <w:lang w:val="en-GB"/>
        </w:rPr>
        <w:t xml:space="preserve">ree </w:t>
      </w:r>
      <w:r w:rsidR="006C454B">
        <w:rPr>
          <w:bCs/>
          <w:lang w:val="en-GB"/>
        </w:rPr>
        <w:t>P</w:t>
      </w:r>
      <w:r w:rsidR="00366DAC">
        <w:rPr>
          <w:bCs/>
          <w:lang w:val="en-GB"/>
        </w:rPr>
        <w:t xml:space="preserve">reservation </w:t>
      </w:r>
      <w:r w:rsidR="006C454B">
        <w:rPr>
          <w:bCs/>
          <w:lang w:val="en-GB"/>
        </w:rPr>
        <w:t>O</w:t>
      </w:r>
      <w:r w:rsidR="00366DAC">
        <w:rPr>
          <w:bCs/>
          <w:lang w:val="en-GB"/>
        </w:rPr>
        <w:t>rder (TPO)</w:t>
      </w:r>
      <w:r w:rsidR="006C454B">
        <w:rPr>
          <w:bCs/>
          <w:lang w:val="en-GB"/>
        </w:rPr>
        <w:t xml:space="preserve"> are</w:t>
      </w:r>
      <w:r>
        <w:rPr>
          <w:bCs/>
          <w:lang w:val="en-GB"/>
        </w:rPr>
        <w:t xml:space="preserve"> at </w:t>
      </w:r>
      <w:r w:rsidR="006C454B">
        <w:rPr>
          <w:bCs/>
          <w:lang w:val="en-GB"/>
        </w:rPr>
        <w:t xml:space="preserve">paragraph </w:t>
      </w:r>
      <w:r>
        <w:rPr>
          <w:bCs/>
          <w:lang w:val="en-GB"/>
        </w:rPr>
        <w:t xml:space="preserve">4 </w:t>
      </w:r>
      <w:r w:rsidR="006C454B">
        <w:rPr>
          <w:bCs/>
          <w:lang w:val="en-GB"/>
        </w:rPr>
        <w:t xml:space="preserve">of this report </w:t>
      </w:r>
      <w:r>
        <w:rPr>
          <w:bCs/>
          <w:lang w:val="en-GB"/>
        </w:rPr>
        <w:t>below.</w:t>
      </w:r>
    </w:p>
    <w:p w14:paraId="45F02CFD" w14:textId="77777777" w:rsidR="00AE39CF" w:rsidRDefault="00AE39CF" w:rsidP="00AE39CF">
      <w:pPr>
        <w:jc w:val="both"/>
        <w:rPr>
          <w:bCs/>
          <w:lang w:val="en-GB"/>
        </w:rPr>
      </w:pPr>
    </w:p>
    <w:p w14:paraId="483D098D" w14:textId="29C9C407" w:rsidR="00060C0F" w:rsidRDefault="00060C0F" w:rsidP="00060C0F">
      <w:pPr>
        <w:numPr>
          <w:ilvl w:val="1"/>
          <w:numId w:val="1"/>
        </w:numPr>
        <w:jc w:val="both"/>
        <w:rPr>
          <w:bCs/>
          <w:lang w:val="en-GB"/>
        </w:rPr>
      </w:pPr>
      <w:r w:rsidRPr="00060C0F">
        <w:rPr>
          <w:bCs/>
          <w:lang w:val="en-GB"/>
        </w:rPr>
        <w:t xml:space="preserve">Hawkswell Estates Limited (HEL), a management company which owns all of the soft landscaped areas at Hawkswell Gardens, </w:t>
      </w:r>
      <w:r>
        <w:rPr>
          <w:bCs/>
          <w:lang w:val="en-GB"/>
        </w:rPr>
        <w:t>made a request for the beech tree to be protected by a TPO</w:t>
      </w:r>
      <w:r w:rsidR="00321E2F">
        <w:rPr>
          <w:bCs/>
          <w:lang w:val="en-GB"/>
        </w:rPr>
        <w:t>,</w:t>
      </w:r>
      <w:r>
        <w:rPr>
          <w:bCs/>
          <w:lang w:val="en-GB"/>
        </w:rPr>
        <w:t xml:space="preserve"> </w:t>
      </w:r>
      <w:r w:rsidRPr="00060C0F">
        <w:rPr>
          <w:bCs/>
          <w:lang w:val="en-GB"/>
        </w:rPr>
        <w:t xml:space="preserve">because of concerns that </w:t>
      </w:r>
      <w:r>
        <w:rPr>
          <w:bCs/>
          <w:lang w:val="en-GB"/>
        </w:rPr>
        <w:lastRenderedPageBreak/>
        <w:t xml:space="preserve">it’s </w:t>
      </w:r>
      <w:r w:rsidRPr="00060C0F">
        <w:rPr>
          <w:bCs/>
          <w:lang w:val="en-GB"/>
        </w:rPr>
        <w:t>branches</w:t>
      </w:r>
      <w:r w:rsidR="00A512C9">
        <w:rPr>
          <w:bCs/>
          <w:lang w:val="en-GB"/>
        </w:rPr>
        <w:t xml:space="preserve">, </w:t>
      </w:r>
      <w:proofErr w:type="gramStart"/>
      <w:r w:rsidR="00A512C9">
        <w:rPr>
          <w:bCs/>
          <w:lang w:val="en-GB"/>
        </w:rPr>
        <w:t xml:space="preserve">which </w:t>
      </w:r>
      <w:r w:rsidRPr="00060C0F">
        <w:rPr>
          <w:bCs/>
          <w:lang w:val="en-GB"/>
        </w:rPr>
        <w:t xml:space="preserve"> </w:t>
      </w:r>
      <w:r>
        <w:rPr>
          <w:bCs/>
          <w:lang w:val="en-GB"/>
        </w:rPr>
        <w:t>o</w:t>
      </w:r>
      <w:r w:rsidRPr="00060C0F">
        <w:rPr>
          <w:bCs/>
          <w:lang w:val="en-GB"/>
        </w:rPr>
        <w:t>verhang</w:t>
      </w:r>
      <w:proofErr w:type="gramEnd"/>
      <w:r w:rsidRPr="00060C0F">
        <w:rPr>
          <w:bCs/>
          <w:lang w:val="en-GB"/>
        </w:rPr>
        <w:t xml:space="preserve"> the garden of a newly constructed house at 1 King’s Cross Road (granted planning permission under 18/03009/FUL)</w:t>
      </w:r>
      <w:r w:rsidR="00A512C9">
        <w:rPr>
          <w:bCs/>
          <w:lang w:val="en-GB"/>
        </w:rPr>
        <w:t>,</w:t>
      </w:r>
      <w:r w:rsidRPr="00060C0F">
        <w:rPr>
          <w:bCs/>
          <w:lang w:val="en-GB"/>
        </w:rPr>
        <w:t xml:space="preserve"> might be cut back under common law to the boundary</w:t>
      </w:r>
      <w:r w:rsidR="006C454B">
        <w:rPr>
          <w:bCs/>
          <w:lang w:val="en-GB"/>
        </w:rPr>
        <w:t xml:space="preserve"> such that it would be detrimental to its appearance and amenity value</w:t>
      </w:r>
      <w:r w:rsidR="00A512C9">
        <w:rPr>
          <w:bCs/>
          <w:lang w:val="en-GB"/>
        </w:rPr>
        <w:t xml:space="preserve"> of the tree overall</w:t>
      </w:r>
      <w:r w:rsidRPr="00060C0F">
        <w:rPr>
          <w:bCs/>
          <w:lang w:val="en-GB"/>
        </w:rPr>
        <w:t>. HEL had been contacted by the developer asking for action to be taken to “</w:t>
      </w:r>
      <w:proofErr w:type="gramStart"/>
      <w:r w:rsidRPr="00060C0F">
        <w:rPr>
          <w:bCs/>
          <w:lang w:val="en-GB"/>
        </w:rPr>
        <w:t>..prune</w:t>
      </w:r>
      <w:proofErr w:type="gramEnd"/>
      <w:r w:rsidRPr="00060C0F">
        <w:rPr>
          <w:bCs/>
          <w:lang w:val="en-GB"/>
        </w:rPr>
        <w:t xml:space="preserve"> it back as much as possible” because when in leaf the tree will be “..</w:t>
      </w:r>
      <w:proofErr w:type="gramStart"/>
      <w:r w:rsidRPr="00060C0F">
        <w:rPr>
          <w:bCs/>
          <w:lang w:val="en-GB"/>
        </w:rPr>
        <w:t>extremely</w:t>
      </w:r>
      <w:proofErr w:type="gramEnd"/>
      <w:r w:rsidRPr="00060C0F">
        <w:rPr>
          <w:bCs/>
          <w:lang w:val="en-GB"/>
        </w:rPr>
        <w:t xml:space="preserve"> overpowering and o</w:t>
      </w:r>
      <w:r w:rsidR="00AE39CF">
        <w:rPr>
          <w:bCs/>
          <w:lang w:val="en-GB"/>
        </w:rPr>
        <w:t>ppressive”.</w:t>
      </w:r>
    </w:p>
    <w:p w14:paraId="5189AD4A" w14:textId="77777777" w:rsidR="00AE39CF" w:rsidRDefault="00AE39CF" w:rsidP="00AE39CF">
      <w:pPr>
        <w:jc w:val="both"/>
        <w:rPr>
          <w:bCs/>
          <w:lang w:val="en-GB"/>
        </w:rPr>
      </w:pPr>
    </w:p>
    <w:p w14:paraId="68A4351F" w14:textId="77777777" w:rsidR="00060C0F" w:rsidRDefault="00366DAC" w:rsidP="00060C0F">
      <w:pPr>
        <w:numPr>
          <w:ilvl w:val="1"/>
          <w:numId w:val="1"/>
        </w:numPr>
        <w:jc w:val="both"/>
        <w:rPr>
          <w:bCs/>
          <w:lang w:val="en-GB"/>
        </w:rPr>
      </w:pPr>
      <w:r>
        <w:rPr>
          <w:bCs/>
          <w:lang w:val="en-GB"/>
        </w:rPr>
        <w:t>HEL</w:t>
      </w:r>
      <w:r w:rsidR="00060C0F" w:rsidRPr="00060C0F">
        <w:rPr>
          <w:bCs/>
          <w:lang w:val="en-GB"/>
        </w:rPr>
        <w:t xml:space="preserve"> also owns the cedar tree</w:t>
      </w:r>
      <w:r w:rsidR="00060C0F">
        <w:rPr>
          <w:bCs/>
          <w:lang w:val="en-GB"/>
        </w:rPr>
        <w:t xml:space="preserve"> </w:t>
      </w:r>
      <w:r w:rsidR="00060C0F" w:rsidRPr="00060C0F">
        <w:rPr>
          <w:bCs/>
          <w:lang w:val="en-GB"/>
        </w:rPr>
        <w:t>the southern side of the road (</w:t>
      </w:r>
      <w:r>
        <w:rPr>
          <w:bCs/>
          <w:lang w:val="en-GB"/>
        </w:rPr>
        <w:t>as shown on the</w:t>
      </w:r>
      <w:r w:rsidR="00060C0F" w:rsidRPr="00060C0F">
        <w:rPr>
          <w:bCs/>
          <w:lang w:val="en-GB"/>
        </w:rPr>
        <w:t xml:space="preserve"> location plan in </w:t>
      </w:r>
      <w:r>
        <w:rPr>
          <w:bCs/>
          <w:lang w:val="en-GB"/>
        </w:rPr>
        <w:t xml:space="preserve">the </w:t>
      </w:r>
      <w:r w:rsidR="00060C0F" w:rsidRPr="00060C0F">
        <w:rPr>
          <w:bCs/>
          <w:lang w:val="en-GB"/>
        </w:rPr>
        <w:t>appendices</w:t>
      </w:r>
      <w:r>
        <w:rPr>
          <w:bCs/>
          <w:lang w:val="en-GB"/>
        </w:rPr>
        <w:t xml:space="preserve"> to this report</w:t>
      </w:r>
      <w:r w:rsidR="00060C0F" w:rsidRPr="00060C0F">
        <w:rPr>
          <w:bCs/>
          <w:lang w:val="en-GB"/>
        </w:rPr>
        <w:t>). The branches of this tree overhang the gardens of neighbouring properties in Lonsdale Road</w:t>
      </w:r>
      <w:r w:rsidR="006C454B">
        <w:rPr>
          <w:bCs/>
          <w:lang w:val="en-GB"/>
        </w:rPr>
        <w:t>, so that it too is at risk of having overhanging branches removed under common law</w:t>
      </w:r>
      <w:r w:rsidR="00060C0F">
        <w:rPr>
          <w:bCs/>
          <w:lang w:val="en-GB"/>
        </w:rPr>
        <w:t xml:space="preserve">. </w:t>
      </w:r>
    </w:p>
    <w:p w14:paraId="00511471" w14:textId="77777777" w:rsidR="00AE39CF" w:rsidRDefault="00AE39CF" w:rsidP="00AE39CF">
      <w:pPr>
        <w:jc w:val="both"/>
        <w:rPr>
          <w:bCs/>
          <w:lang w:val="en-GB"/>
        </w:rPr>
      </w:pPr>
    </w:p>
    <w:p w14:paraId="7E96CA5D" w14:textId="02680EDA" w:rsidR="00060C0F" w:rsidRDefault="00060C0F" w:rsidP="00E35B2D">
      <w:pPr>
        <w:numPr>
          <w:ilvl w:val="1"/>
          <w:numId w:val="1"/>
        </w:numPr>
        <w:jc w:val="both"/>
        <w:rPr>
          <w:bCs/>
          <w:lang w:val="en-GB"/>
        </w:rPr>
      </w:pPr>
      <w:r w:rsidRPr="00060C0F">
        <w:rPr>
          <w:bCs/>
          <w:lang w:val="en-GB"/>
        </w:rPr>
        <w:t>Officers consider</w:t>
      </w:r>
      <w:r w:rsidR="00321E2F">
        <w:rPr>
          <w:bCs/>
          <w:lang w:val="en-GB"/>
        </w:rPr>
        <w:t>ed</w:t>
      </w:r>
      <w:r w:rsidRPr="00060C0F">
        <w:rPr>
          <w:bCs/>
          <w:lang w:val="en-GB"/>
        </w:rPr>
        <w:t xml:space="preserve"> that </w:t>
      </w:r>
      <w:r w:rsidR="00E35B2D" w:rsidRPr="00E35B2D">
        <w:rPr>
          <w:bCs/>
          <w:lang w:val="en-GB"/>
        </w:rPr>
        <w:t xml:space="preserve">rather than making an order to protect just the </w:t>
      </w:r>
      <w:r w:rsidR="007D2A22">
        <w:rPr>
          <w:bCs/>
          <w:lang w:val="en-GB"/>
        </w:rPr>
        <w:t xml:space="preserve">copper </w:t>
      </w:r>
      <w:r w:rsidR="00E35B2D" w:rsidRPr="00E35B2D">
        <w:rPr>
          <w:bCs/>
          <w:lang w:val="en-GB"/>
        </w:rPr>
        <w:t>beech</w:t>
      </w:r>
      <w:r w:rsidR="00366DAC">
        <w:rPr>
          <w:bCs/>
          <w:lang w:val="en-GB"/>
        </w:rPr>
        <w:t xml:space="preserve"> tree</w:t>
      </w:r>
      <w:r w:rsidR="00E35B2D" w:rsidRPr="00E35B2D">
        <w:rPr>
          <w:bCs/>
          <w:lang w:val="en-GB"/>
        </w:rPr>
        <w:t xml:space="preserve"> alone</w:t>
      </w:r>
      <w:r w:rsidR="00E35B2D">
        <w:rPr>
          <w:bCs/>
          <w:lang w:val="en-GB"/>
        </w:rPr>
        <w:t xml:space="preserve">, </w:t>
      </w:r>
      <w:r w:rsidRPr="00060C0F">
        <w:rPr>
          <w:bCs/>
          <w:lang w:val="en-GB"/>
        </w:rPr>
        <w:t>taking action to protect both trees is a more coherent approach to protecting visual amenity in the area</w:t>
      </w:r>
      <w:r w:rsidR="00E35B2D">
        <w:rPr>
          <w:bCs/>
          <w:lang w:val="en-GB"/>
        </w:rPr>
        <w:t>. So</w:t>
      </w:r>
      <w:r w:rsidR="00321E2F">
        <w:rPr>
          <w:bCs/>
          <w:lang w:val="en-GB"/>
        </w:rPr>
        <w:t>,</w:t>
      </w:r>
      <w:r w:rsidR="00E35B2D">
        <w:rPr>
          <w:bCs/>
          <w:lang w:val="en-GB"/>
        </w:rPr>
        <w:t xml:space="preserve"> </w:t>
      </w:r>
      <w:r w:rsidR="006C454B">
        <w:rPr>
          <w:bCs/>
          <w:lang w:val="en-GB"/>
        </w:rPr>
        <w:t>the cedar</w:t>
      </w:r>
      <w:r w:rsidR="00366DAC">
        <w:rPr>
          <w:bCs/>
          <w:lang w:val="en-GB"/>
        </w:rPr>
        <w:t xml:space="preserve"> tree</w:t>
      </w:r>
      <w:r w:rsidR="006C454B">
        <w:rPr>
          <w:bCs/>
          <w:lang w:val="en-GB"/>
        </w:rPr>
        <w:t xml:space="preserve"> is included in the TPO that has been made.</w:t>
      </w:r>
    </w:p>
    <w:p w14:paraId="12E4403E" w14:textId="77777777" w:rsidR="00AE39CF" w:rsidRDefault="00AE39CF" w:rsidP="00AE39CF">
      <w:pPr>
        <w:jc w:val="both"/>
        <w:rPr>
          <w:bCs/>
          <w:lang w:val="en-GB"/>
        </w:rPr>
      </w:pPr>
    </w:p>
    <w:p w14:paraId="79DE4565" w14:textId="77777777" w:rsidR="006C454B" w:rsidRDefault="006C454B" w:rsidP="00060C0F">
      <w:pPr>
        <w:numPr>
          <w:ilvl w:val="1"/>
          <w:numId w:val="1"/>
        </w:numPr>
        <w:jc w:val="both"/>
        <w:rPr>
          <w:bCs/>
          <w:lang w:val="en-GB"/>
        </w:rPr>
      </w:pPr>
      <w:r>
        <w:rPr>
          <w:bCs/>
          <w:lang w:val="en-GB"/>
        </w:rPr>
        <w:t xml:space="preserve">An objection has been received </w:t>
      </w:r>
      <w:r w:rsidR="00366DAC">
        <w:rPr>
          <w:bCs/>
          <w:lang w:val="en-GB"/>
        </w:rPr>
        <w:t>in respect of</w:t>
      </w:r>
      <w:r>
        <w:rPr>
          <w:bCs/>
          <w:lang w:val="en-GB"/>
        </w:rPr>
        <w:t xml:space="preserve"> the protection of the cedar</w:t>
      </w:r>
      <w:r w:rsidR="00366DAC">
        <w:rPr>
          <w:bCs/>
          <w:lang w:val="en-GB"/>
        </w:rPr>
        <w:t xml:space="preserve"> tree</w:t>
      </w:r>
      <w:r w:rsidR="00E35B2D">
        <w:rPr>
          <w:bCs/>
          <w:lang w:val="en-GB"/>
        </w:rPr>
        <w:t xml:space="preserve"> from 85 Lonsdale Road</w:t>
      </w:r>
      <w:r>
        <w:rPr>
          <w:bCs/>
          <w:lang w:val="en-GB"/>
        </w:rPr>
        <w:t>.</w:t>
      </w:r>
    </w:p>
    <w:p w14:paraId="4D206416" w14:textId="77777777" w:rsidR="00AE39CF" w:rsidRDefault="00AE39CF" w:rsidP="00AE39CF">
      <w:pPr>
        <w:jc w:val="both"/>
        <w:rPr>
          <w:bCs/>
          <w:lang w:val="en-GB"/>
        </w:rPr>
      </w:pPr>
    </w:p>
    <w:p w14:paraId="5F193E62" w14:textId="77777777" w:rsidR="006C454B" w:rsidRDefault="006C454B" w:rsidP="00060C0F">
      <w:pPr>
        <w:numPr>
          <w:ilvl w:val="1"/>
          <w:numId w:val="1"/>
        </w:numPr>
        <w:jc w:val="both"/>
        <w:rPr>
          <w:bCs/>
          <w:lang w:val="en-GB"/>
        </w:rPr>
      </w:pPr>
      <w:r>
        <w:rPr>
          <w:bCs/>
          <w:lang w:val="en-GB"/>
        </w:rPr>
        <w:t xml:space="preserve">The TPO took immediate effect on 06 October 2020, but is provisional for 6 months and must be confirmed </w:t>
      </w:r>
      <w:r w:rsidR="00E21E7E">
        <w:rPr>
          <w:bCs/>
          <w:lang w:val="en-GB"/>
        </w:rPr>
        <w:t xml:space="preserve">before 06 April 2021 </w:t>
      </w:r>
      <w:r>
        <w:rPr>
          <w:bCs/>
          <w:lang w:val="en-GB"/>
        </w:rPr>
        <w:t xml:space="preserve">to be made permanent. </w:t>
      </w:r>
      <w:r w:rsidR="00321E2F">
        <w:rPr>
          <w:bCs/>
          <w:lang w:val="en-GB"/>
        </w:rPr>
        <w:t>The Council must take account of the objection received in reaching its decision.</w:t>
      </w:r>
    </w:p>
    <w:p w14:paraId="667B17D5" w14:textId="77777777" w:rsidR="006C454B" w:rsidRPr="00FF2F08" w:rsidRDefault="006C454B" w:rsidP="006C454B">
      <w:pPr>
        <w:jc w:val="both"/>
        <w:rPr>
          <w:bCs/>
          <w:lang w:val="en-GB"/>
        </w:rPr>
      </w:pPr>
    </w:p>
    <w:p w14:paraId="1B4E253E" w14:textId="77777777" w:rsidR="00E93109" w:rsidRDefault="00E93109" w:rsidP="00246A95">
      <w:pPr>
        <w:numPr>
          <w:ilvl w:val="0"/>
          <w:numId w:val="1"/>
        </w:numPr>
        <w:jc w:val="both"/>
        <w:rPr>
          <w:b/>
          <w:bCs/>
          <w:lang w:val="en-GB"/>
        </w:rPr>
      </w:pPr>
      <w:r>
        <w:rPr>
          <w:b/>
          <w:bCs/>
          <w:lang w:val="en-GB"/>
        </w:rPr>
        <w:t>Location Plan</w:t>
      </w:r>
      <w:r w:rsidR="0083132B">
        <w:rPr>
          <w:b/>
          <w:bCs/>
          <w:lang w:val="en-GB"/>
        </w:rPr>
        <w:t>:</w:t>
      </w:r>
    </w:p>
    <w:p w14:paraId="1FF76D5A" w14:textId="77777777" w:rsidR="006C454B" w:rsidRDefault="006C454B" w:rsidP="006C454B">
      <w:pPr>
        <w:jc w:val="both"/>
        <w:rPr>
          <w:b/>
          <w:bCs/>
          <w:lang w:val="en-GB"/>
        </w:rPr>
      </w:pPr>
    </w:p>
    <w:p w14:paraId="722AE784" w14:textId="77777777" w:rsidR="006C454B" w:rsidRDefault="00E21E7E" w:rsidP="006C454B">
      <w:pPr>
        <w:jc w:val="both"/>
        <w:rPr>
          <w:b/>
          <w:bCs/>
          <w:lang w:val="en-GB"/>
        </w:rPr>
      </w:pPr>
      <w:r>
        <w:rPr>
          <w:noProof/>
          <w:lang w:val="en-GB" w:eastAsia="en-GB"/>
        </w:rPr>
        <w:t xml:space="preserve">         </w:t>
      </w:r>
      <w:r w:rsidR="00915834" w:rsidRPr="006C454B">
        <w:rPr>
          <w:noProof/>
          <w:lang w:val="en-GB" w:eastAsia="en-GB"/>
        </w:rPr>
        <w:lastRenderedPageBreak/>
        <w:drawing>
          <wp:inline distT="0" distB="0" distL="0" distR="0" wp14:anchorId="1EC7D324" wp14:editId="72FBD594">
            <wp:extent cx="5245100" cy="3403600"/>
            <wp:effectExtent l="0" t="0" r="0" b="0"/>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0" cy="3403600"/>
                    </a:xfrm>
                    <a:prstGeom prst="rect">
                      <a:avLst/>
                    </a:prstGeom>
                    <a:noFill/>
                    <a:ln>
                      <a:noFill/>
                    </a:ln>
                  </pic:spPr>
                </pic:pic>
              </a:graphicData>
            </a:graphic>
          </wp:inline>
        </w:drawing>
      </w:r>
    </w:p>
    <w:p w14:paraId="73009A47" w14:textId="77777777" w:rsidR="006C454B" w:rsidRDefault="006C454B" w:rsidP="006C454B">
      <w:pPr>
        <w:jc w:val="both"/>
        <w:rPr>
          <w:b/>
          <w:bCs/>
          <w:lang w:val="en-GB"/>
        </w:rPr>
      </w:pPr>
    </w:p>
    <w:p w14:paraId="792B8236" w14:textId="77777777" w:rsidR="006C454B" w:rsidRDefault="006C454B" w:rsidP="006C454B">
      <w:pPr>
        <w:jc w:val="both"/>
        <w:rPr>
          <w:b/>
          <w:bCs/>
          <w:lang w:val="en-GB"/>
        </w:rPr>
      </w:pPr>
    </w:p>
    <w:p w14:paraId="152F4B87" w14:textId="77777777" w:rsidR="00E93109" w:rsidRDefault="00E93109" w:rsidP="00246A95">
      <w:pPr>
        <w:numPr>
          <w:ilvl w:val="0"/>
          <w:numId w:val="1"/>
        </w:numPr>
        <w:jc w:val="both"/>
        <w:rPr>
          <w:b/>
          <w:bCs/>
          <w:lang w:val="en-GB"/>
        </w:rPr>
      </w:pPr>
      <w:r>
        <w:rPr>
          <w:b/>
          <w:bCs/>
          <w:lang w:val="en-GB"/>
        </w:rPr>
        <w:t xml:space="preserve">Reason for </w:t>
      </w:r>
      <w:r w:rsidR="00366DAC">
        <w:rPr>
          <w:b/>
          <w:bCs/>
          <w:lang w:val="en-GB"/>
        </w:rPr>
        <w:t xml:space="preserve">making the </w:t>
      </w:r>
      <w:r>
        <w:rPr>
          <w:b/>
          <w:bCs/>
          <w:lang w:val="en-GB"/>
        </w:rPr>
        <w:t>Order:</w:t>
      </w:r>
    </w:p>
    <w:p w14:paraId="527141E6" w14:textId="77777777" w:rsidR="0083132B" w:rsidRDefault="0083132B" w:rsidP="0083132B">
      <w:pPr>
        <w:numPr>
          <w:ilvl w:val="1"/>
          <w:numId w:val="1"/>
        </w:numPr>
        <w:jc w:val="both"/>
        <w:rPr>
          <w:bCs/>
          <w:lang w:val="en-GB"/>
        </w:rPr>
      </w:pPr>
      <w:r w:rsidRPr="0083132B">
        <w:rPr>
          <w:bCs/>
          <w:lang w:val="en-GB"/>
        </w:rPr>
        <w:t xml:space="preserve">To protect, in the interests of public amenity, a </w:t>
      </w:r>
      <w:r>
        <w:rPr>
          <w:bCs/>
          <w:lang w:val="en-GB"/>
        </w:rPr>
        <w:t xml:space="preserve">copper </w:t>
      </w:r>
      <w:r w:rsidRPr="0083132B">
        <w:rPr>
          <w:bCs/>
          <w:lang w:val="en-GB"/>
        </w:rPr>
        <w:t xml:space="preserve">beech tree, T.1, and a cedar tree, T.2, that stand in prominent roadside locations either side of the entrance road to Hawkswell Gardens from King’s Cross Road, Summertown, </w:t>
      </w:r>
      <w:proofErr w:type="gramStart"/>
      <w:r w:rsidRPr="0083132B">
        <w:rPr>
          <w:bCs/>
          <w:lang w:val="en-GB"/>
        </w:rPr>
        <w:t>Oxford</w:t>
      </w:r>
      <w:proofErr w:type="gramEnd"/>
      <w:r w:rsidRPr="0083132B">
        <w:rPr>
          <w:bCs/>
          <w:lang w:val="en-GB"/>
        </w:rPr>
        <w:t xml:space="preserve">. The trees are visually attractive, offering a range of ornamental attributes and environmental services which vary according to the seasons and therefore make a valuable contribution to the appearance and character of this part of the local suburban environment. It is expedient in the interests of amenity to make the Tree Preservation Order because the trees overhang gardens of neighbouring properties </w:t>
      </w:r>
      <w:r w:rsidRPr="0083132B">
        <w:rPr>
          <w:bCs/>
          <w:lang w:val="en-GB"/>
        </w:rPr>
        <w:lastRenderedPageBreak/>
        <w:t>and are at risk of having branches cut back to the boundary to the detriment of their appearance and amenity value.</w:t>
      </w:r>
    </w:p>
    <w:p w14:paraId="5DF9F5CF" w14:textId="77777777" w:rsidR="00016869" w:rsidRPr="0083132B" w:rsidRDefault="00016869" w:rsidP="00016869">
      <w:pPr>
        <w:jc w:val="both"/>
        <w:rPr>
          <w:bCs/>
          <w:lang w:val="en-GB"/>
        </w:rPr>
      </w:pPr>
    </w:p>
    <w:p w14:paraId="5957FD8F" w14:textId="77777777" w:rsidR="009D600F" w:rsidRPr="00246A95" w:rsidRDefault="009D600F" w:rsidP="00246A95">
      <w:pPr>
        <w:numPr>
          <w:ilvl w:val="0"/>
          <w:numId w:val="1"/>
        </w:numPr>
        <w:jc w:val="both"/>
        <w:rPr>
          <w:b/>
          <w:bCs/>
          <w:lang w:val="en-GB"/>
        </w:rPr>
      </w:pPr>
      <w:r>
        <w:rPr>
          <w:b/>
          <w:bCs/>
        </w:rPr>
        <w:t>Representations Received:</w:t>
      </w:r>
    </w:p>
    <w:p w14:paraId="1FA73E5A" w14:textId="77777777" w:rsidR="00B74048" w:rsidRDefault="00366DAC" w:rsidP="00246A95">
      <w:pPr>
        <w:numPr>
          <w:ilvl w:val="1"/>
          <w:numId w:val="1"/>
        </w:numPr>
        <w:jc w:val="both"/>
        <w:rPr>
          <w:bCs/>
          <w:lang w:val="en-GB"/>
        </w:rPr>
      </w:pPr>
      <w:r>
        <w:rPr>
          <w:bCs/>
          <w:lang w:val="en-GB"/>
        </w:rPr>
        <w:t>One o</w:t>
      </w:r>
      <w:r w:rsidR="00FF2F08" w:rsidRPr="00B74048">
        <w:rPr>
          <w:bCs/>
          <w:lang w:val="en-GB"/>
        </w:rPr>
        <w:t>bjection</w:t>
      </w:r>
      <w:r w:rsidR="00B74048">
        <w:rPr>
          <w:bCs/>
          <w:lang w:val="en-GB"/>
        </w:rPr>
        <w:t xml:space="preserve"> </w:t>
      </w:r>
      <w:r>
        <w:rPr>
          <w:bCs/>
          <w:lang w:val="en-GB"/>
        </w:rPr>
        <w:t>in respect of the</w:t>
      </w:r>
      <w:r w:rsidR="00B74048">
        <w:rPr>
          <w:bCs/>
          <w:lang w:val="en-GB"/>
        </w:rPr>
        <w:t xml:space="preserve"> protection of </w:t>
      </w:r>
      <w:r>
        <w:rPr>
          <w:bCs/>
          <w:lang w:val="en-GB"/>
        </w:rPr>
        <w:t xml:space="preserve">the </w:t>
      </w:r>
      <w:r w:rsidR="00B74048">
        <w:rPr>
          <w:bCs/>
          <w:lang w:val="en-GB"/>
        </w:rPr>
        <w:t>cedar tree from 8</w:t>
      </w:r>
      <w:r w:rsidR="00E35B2D">
        <w:rPr>
          <w:bCs/>
          <w:lang w:val="en-GB"/>
        </w:rPr>
        <w:t>5</w:t>
      </w:r>
      <w:r w:rsidR="00B74048">
        <w:rPr>
          <w:bCs/>
          <w:lang w:val="en-GB"/>
        </w:rPr>
        <w:t xml:space="preserve"> Lonsdale Road: summary of </w:t>
      </w:r>
      <w:r w:rsidR="00AD54DD">
        <w:rPr>
          <w:bCs/>
          <w:lang w:val="en-GB"/>
        </w:rPr>
        <w:t>key objections raised</w:t>
      </w:r>
      <w:r w:rsidR="00B74048">
        <w:rPr>
          <w:bCs/>
          <w:lang w:val="en-GB"/>
        </w:rPr>
        <w:t>;</w:t>
      </w:r>
    </w:p>
    <w:p w14:paraId="6E0FCFA5" w14:textId="77777777" w:rsidR="00A71DAB" w:rsidRDefault="00A512C9" w:rsidP="00B74048">
      <w:pPr>
        <w:numPr>
          <w:ilvl w:val="2"/>
          <w:numId w:val="1"/>
        </w:numPr>
        <w:jc w:val="both"/>
        <w:rPr>
          <w:bCs/>
          <w:lang w:val="en-GB"/>
        </w:rPr>
      </w:pPr>
      <w:r>
        <w:rPr>
          <w:bCs/>
          <w:lang w:val="en-GB"/>
        </w:rPr>
        <w:t>Tree has been identified as being in distressed condition and not in best of health in the past and the l</w:t>
      </w:r>
      <w:r w:rsidR="00A71DAB">
        <w:rPr>
          <w:bCs/>
          <w:lang w:val="en-GB"/>
        </w:rPr>
        <w:t>ocation is not suitable for healthy life of this species;</w:t>
      </w:r>
    </w:p>
    <w:p w14:paraId="6F9DDBAF" w14:textId="77777777" w:rsidR="00246A95" w:rsidRDefault="00A71DAB" w:rsidP="00B74048">
      <w:pPr>
        <w:numPr>
          <w:ilvl w:val="2"/>
          <w:numId w:val="1"/>
        </w:numPr>
        <w:jc w:val="both"/>
        <w:rPr>
          <w:bCs/>
          <w:lang w:val="en-GB"/>
        </w:rPr>
      </w:pPr>
      <w:r w:rsidRPr="00705CC7">
        <w:rPr>
          <w:bCs/>
          <w:lang w:val="en-GB"/>
        </w:rPr>
        <w:t>Tree is of substantial size</w:t>
      </w:r>
      <w:r w:rsidR="00705CC7" w:rsidRPr="00705CC7">
        <w:rPr>
          <w:bCs/>
          <w:lang w:val="en-GB"/>
        </w:rPr>
        <w:t xml:space="preserve">, such that it imposes </w:t>
      </w:r>
      <w:r w:rsidRPr="00705CC7">
        <w:rPr>
          <w:bCs/>
          <w:lang w:val="en-GB"/>
        </w:rPr>
        <w:t xml:space="preserve">a substantial threat to the </w:t>
      </w:r>
      <w:r w:rsidR="00E35B2D" w:rsidRPr="00705CC7">
        <w:rPr>
          <w:bCs/>
          <w:lang w:val="en-GB"/>
        </w:rPr>
        <w:t xml:space="preserve">superstructure and foundations of adjacent </w:t>
      </w:r>
      <w:r w:rsidR="003E7B43">
        <w:rPr>
          <w:bCs/>
          <w:lang w:val="en-GB"/>
        </w:rPr>
        <w:t xml:space="preserve">built </w:t>
      </w:r>
      <w:r w:rsidR="00E35B2D" w:rsidRPr="00705CC7">
        <w:rPr>
          <w:bCs/>
          <w:lang w:val="en-GB"/>
        </w:rPr>
        <w:t>structures</w:t>
      </w:r>
      <w:r w:rsidR="00AD54DD">
        <w:rPr>
          <w:bCs/>
          <w:lang w:val="en-GB"/>
        </w:rPr>
        <w:t>, which include a garage and an open-electricity sub-station</w:t>
      </w:r>
      <w:r w:rsidR="00E35B2D" w:rsidRPr="00705CC7">
        <w:rPr>
          <w:bCs/>
          <w:lang w:val="en-GB"/>
        </w:rPr>
        <w:t>;</w:t>
      </w:r>
      <w:r w:rsidR="00B74048" w:rsidRPr="00705CC7">
        <w:rPr>
          <w:bCs/>
          <w:lang w:val="en-GB"/>
        </w:rPr>
        <w:t xml:space="preserve"> </w:t>
      </w:r>
    </w:p>
    <w:p w14:paraId="1601B466" w14:textId="77777777" w:rsidR="00016869" w:rsidRDefault="003E7B43" w:rsidP="00B74048">
      <w:pPr>
        <w:numPr>
          <w:ilvl w:val="2"/>
          <w:numId w:val="1"/>
        </w:numPr>
        <w:jc w:val="both"/>
        <w:rPr>
          <w:bCs/>
          <w:lang w:val="en-GB"/>
        </w:rPr>
      </w:pPr>
      <w:r>
        <w:rPr>
          <w:bCs/>
          <w:lang w:val="en-GB"/>
        </w:rPr>
        <w:t>Tree will require significant maintenance in the future to avoid damage to property and potential safety issues.</w:t>
      </w:r>
    </w:p>
    <w:p w14:paraId="5A726F37" w14:textId="77777777" w:rsidR="003E7B43" w:rsidRDefault="003E7B43" w:rsidP="00016869">
      <w:pPr>
        <w:ind w:left="360"/>
        <w:jc w:val="both"/>
        <w:rPr>
          <w:bCs/>
          <w:lang w:val="en-GB"/>
        </w:rPr>
      </w:pPr>
      <w:r>
        <w:rPr>
          <w:bCs/>
          <w:lang w:val="en-GB"/>
        </w:rPr>
        <w:t xml:space="preserve"> </w:t>
      </w:r>
    </w:p>
    <w:p w14:paraId="732179BA" w14:textId="77777777" w:rsidR="00321E2F" w:rsidRPr="00705CC7" w:rsidRDefault="00321E2F" w:rsidP="00016869">
      <w:pPr>
        <w:ind w:left="360"/>
        <w:jc w:val="both"/>
        <w:rPr>
          <w:bCs/>
          <w:lang w:val="en-GB"/>
        </w:rPr>
      </w:pPr>
    </w:p>
    <w:p w14:paraId="6647D239" w14:textId="77777777" w:rsidR="009D600F" w:rsidRPr="00246A95" w:rsidRDefault="009D600F" w:rsidP="00246A95">
      <w:pPr>
        <w:numPr>
          <w:ilvl w:val="0"/>
          <w:numId w:val="1"/>
        </w:numPr>
        <w:ind w:right="397"/>
        <w:jc w:val="both"/>
        <w:rPr>
          <w:b/>
          <w:bCs/>
        </w:rPr>
      </w:pPr>
      <w:r>
        <w:rPr>
          <w:b/>
          <w:bCs/>
        </w:rPr>
        <w:t>Officers Assessment:</w:t>
      </w:r>
    </w:p>
    <w:p w14:paraId="6C58C612" w14:textId="77777777" w:rsidR="00246A95" w:rsidRPr="00016869" w:rsidRDefault="00FF2F08" w:rsidP="00FF2F08">
      <w:pPr>
        <w:numPr>
          <w:ilvl w:val="1"/>
          <w:numId w:val="1"/>
        </w:numPr>
        <w:ind w:right="397"/>
        <w:jc w:val="both"/>
        <w:rPr>
          <w:b/>
          <w:bCs/>
        </w:rPr>
      </w:pPr>
      <w:r>
        <w:rPr>
          <w:b/>
          <w:bCs/>
        </w:rPr>
        <w:t xml:space="preserve">Amenity: </w:t>
      </w:r>
      <w:r w:rsidRPr="00FF2F08">
        <w:rPr>
          <w:bCs/>
        </w:rPr>
        <w:t xml:space="preserve">Both the </w:t>
      </w:r>
      <w:r w:rsidR="006A61C4">
        <w:rPr>
          <w:bCs/>
        </w:rPr>
        <w:t xml:space="preserve">copper </w:t>
      </w:r>
      <w:r w:rsidRPr="00FF2F08">
        <w:rPr>
          <w:bCs/>
        </w:rPr>
        <w:t>beech and cedar trees are large</w:t>
      </w:r>
      <w:r w:rsidR="006A61C4">
        <w:rPr>
          <w:bCs/>
        </w:rPr>
        <w:t xml:space="preserve"> (approximately 18m and 15m tall, respectively)</w:t>
      </w:r>
      <w:r w:rsidRPr="00FF2F08">
        <w:rPr>
          <w:bCs/>
        </w:rPr>
        <w:t>, mature specimens that stand in prominent roadside locations either side of the access road into Hawkswell Gardens from King’s Cross Road, Summertown, Oxford. The trees are both visually attractive, offering a range of ornamental attributes and environmental services which vary according to the seasons and they therefore make a valuable contribution to the appearance and character of the local suburban environment.</w:t>
      </w:r>
    </w:p>
    <w:p w14:paraId="24B399ED" w14:textId="77777777" w:rsidR="00016869" w:rsidRDefault="00016869" w:rsidP="00016869">
      <w:pPr>
        <w:ind w:right="397"/>
        <w:jc w:val="both"/>
        <w:rPr>
          <w:b/>
          <w:bCs/>
        </w:rPr>
      </w:pPr>
    </w:p>
    <w:p w14:paraId="1924D677" w14:textId="77777777" w:rsidR="00321E2F" w:rsidRDefault="00FF2F08" w:rsidP="00321E2F">
      <w:pPr>
        <w:numPr>
          <w:ilvl w:val="1"/>
          <w:numId w:val="1"/>
        </w:numPr>
        <w:ind w:right="397"/>
        <w:jc w:val="both"/>
        <w:rPr>
          <w:bCs/>
        </w:rPr>
      </w:pPr>
      <w:r w:rsidRPr="00321E2F">
        <w:rPr>
          <w:b/>
          <w:bCs/>
        </w:rPr>
        <w:t>Suitability:</w:t>
      </w:r>
      <w:r w:rsidRPr="00FF2F08">
        <w:t xml:space="preserve"> </w:t>
      </w:r>
      <w:r w:rsidR="00FD7222">
        <w:t>Neither</w:t>
      </w:r>
      <w:r w:rsidR="00E35B2D">
        <w:t xml:space="preserve"> the copper beech nor the cedar currently show any indication of any significant </w:t>
      </w:r>
      <w:r w:rsidR="003F2FF0">
        <w:t>structural defects, or physiological ill-health</w:t>
      </w:r>
      <w:r w:rsidR="009307BD">
        <w:t>,</w:t>
      </w:r>
      <w:r w:rsidR="003F2FF0">
        <w:t xml:space="preserve"> </w:t>
      </w:r>
      <w:r w:rsidR="003F2FF0" w:rsidRPr="00321E2F">
        <w:rPr>
          <w:bCs/>
        </w:rPr>
        <w:t xml:space="preserve">that would make them unsuitable for a TPO. </w:t>
      </w:r>
      <w:r w:rsidRPr="00321E2F">
        <w:rPr>
          <w:bCs/>
        </w:rPr>
        <w:t xml:space="preserve">The size and proportion of the trees is </w:t>
      </w:r>
      <w:r w:rsidR="00FD7222" w:rsidRPr="00321E2F">
        <w:rPr>
          <w:bCs/>
        </w:rPr>
        <w:t xml:space="preserve">currently </w:t>
      </w:r>
      <w:r w:rsidR="00366DAC">
        <w:rPr>
          <w:bCs/>
        </w:rPr>
        <w:t xml:space="preserve">well </w:t>
      </w:r>
      <w:r w:rsidRPr="00321E2F">
        <w:rPr>
          <w:bCs/>
        </w:rPr>
        <w:t xml:space="preserve">suited to </w:t>
      </w:r>
      <w:r w:rsidR="00E35B2D" w:rsidRPr="00321E2F">
        <w:rPr>
          <w:bCs/>
        </w:rPr>
        <w:t>their</w:t>
      </w:r>
      <w:r w:rsidRPr="00321E2F">
        <w:rPr>
          <w:bCs/>
        </w:rPr>
        <w:t xml:space="preserve"> location. </w:t>
      </w:r>
      <w:r w:rsidR="00FD7222" w:rsidRPr="00321E2F">
        <w:rPr>
          <w:bCs/>
        </w:rPr>
        <w:t>The</w:t>
      </w:r>
      <w:r w:rsidR="009307BD" w:rsidRPr="00321E2F">
        <w:rPr>
          <w:bCs/>
        </w:rPr>
        <w:t xml:space="preserve"> Council has received no </w:t>
      </w:r>
      <w:r w:rsidR="00FD7222" w:rsidRPr="00321E2F">
        <w:rPr>
          <w:bCs/>
        </w:rPr>
        <w:t xml:space="preserve">evidence of </w:t>
      </w:r>
      <w:r w:rsidR="009307BD" w:rsidRPr="00321E2F">
        <w:rPr>
          <w:bCs/>
        </w:rPr>
        <w:t xml:space="preserve">the </w:t>
      </w:r>
      <w:r w:rsidR="00705CC7" w:rsidRPr="00321E2F">
        <w:rPr>
          <w:bCs/>
        </w:rPr>
        <w:t>growth of the trees</w:t>
      </w:r>
      <w:r w:rsidR="009307BD" w:rsidRPr="00321E2F">
        <w:rPr>
          <w:bCs/>
        </w:rPr>
        <w:t xml:space="preserve"> being </w:t>
      </w:r>
      <w:r w:rsidR="009307BD" w:rsidRPr="00321E2F">
        <w:rPr>
          <w:bCs/>
        </w:rPr>
        <w:lastRenderedPageBreak/>
        <w:t xml:space="preserve">the cause of </w:t>
      </w:r>
      <w:r w:rsidR="00FD7222" w:rsidRPr="00321E2F">
        <w:rPr>
          <w:bCs/>
        </w:rPr>
        <w:t>any damage (direct or indirect) to any of the various built structures that are near</w:t>
      </w:r>
      <w:r w:rsidR="009307BD" w:rsidRPr="00321E2F">
        <w:rPr>
          <w:bCs/>
        </w:rPr>
        <w:t xml:space="preserve"> to them</w:t>
      </w:r>
      <w:r w:rsidR="00FD7222" w:rsidRPr="00321E2F">
        <w:rPr>
          <w:bCs/>
        </w:rPr>
        <w:t xml:space="preserve">. </w:t>
      </w:r>
      <w:r w:rsidRPr="00321E2F">
        <w:rPr>
          <w:bCs/>
        </w:rPr>
        <w:t>Although their branches overhang adjacent gardens it is considered that they do not unreasonably restrict the use and enjoyment of these outdoor amenity spaces.</w:t>
      </w:r>
      <w:r w:rsidR="009307BD" w:rsidRPr="009307BD">
        <w:t xml:space="preserve"> </w:t>
      </w:r>
      <w:r w:rsidR="00321E2F">
        <w:t xml:space="preserve">Any risk of branches from the cedar falling </w:t>
      </w:r>
      <w:r w:rsidR="00496831">
        <w:t>onto the garage, or into t</w:t>
      </w:r>
      <w:r w:rsidR="00321E2F">
        <w:t xml:space="preserve">he </w:t>
      </w:r>
      <w:r w:rsidR="00496831">
        <w:t xml:space="preserve">open </w:t>
      </w:r>
      <w:r w:rsidR="00321E2F">
        <w:t xml:space="preserve">electricity sub-station and causing significant damage can be </w:t>
      </w:r>
      <w:r w:rsidR="00496831">
        <w:t xml:space="preserve">reasonably </w:t>
      </w:r>
      <w:r w:rsidR="00321E2F">
        <w:t xml:space="preserve">managed by regular routine inspection and maintenance works. </w:t>
      </w:r>
      <w:r w:rsidR="00321E2F" w:rsidRPr="009307BD">
        <w:rPr>
          <w:bCs/>
        </w:rPr>
        <w:t>As things stand it is expect</w:t>
      </w:r>
      <w:r w:rsidR="00496831">
        <w:rPr>
          <w:bCs/>
        </w:rPr>
        <w:t>ed</w:t>
      </w:r>
      <w:r w:rsidR="00321E2F" w:rsidRPr="009307BD">
        <w:rPr>
          <w:bCs/>
        </w:rPr>
        <w:t xml:space="preserve"> that both trees can make a valuable contribution to amenity in the area for at least 20 years</w:t>
      </w:r>
      <w:r w:rsidR="00496831">
        <w:rPr>
          <w:bCs/>
        </w:rPr>
        <w:t>, the copper beech for considerably longer</w:t>
      </w:r>
      <w:r w:rsidR="00321E2F" w:rsidRPr="009307BD">
        <w:rPr>
          <w:bCs/>
        </w:rPr>
        <w:t>.</w:t>
      </w:r>
    </w:p>
    <w:p w14:paraId="35446401" w14:textId="77777777" w:rsidR="00016869" w:rsidRPr="00321E2F" w:rsidRDefault="00016869" w:rsidP="00321E2F">
      <w:pPr>
        <w:ind w:left="360" w:right="397"/>
        <w:jc w:val="both"/>
        <w:rPr>
          <w:bCs/>
        </w:rPr>
      </w:pPr>
    </w:p>
    <w:p w14:paraId="1BBD4CDD" w14:textId="77777777" w:rsidR="00FF2F08" w:rsidRPr="00016869" w:rsidRDefault="00FF2F08" w:rsidP="00FF2F08">
      <w:pPr>
        <w:numPr>
          <w:ilvl w:val="1"/>
          <w:numId w:val="1"/>
        </w:numPr>
        <w:ind w:right="397"/>
        <w:jc w:val="both"/>
        <w:rPr>
          <w:b/>
          <w:bCs/>
        </w:rPr>
      </w:pPr>
      <w:r>
        <w:rPr>
          <w:b/>
          <w:bCs/>
        </w:rPr>
        <w:t xml:space="preserve">Expediency: </w:t>
      </w:r>
      <w:r w:rsidRPr="00FF2F08">
        <w:rPr>
          <w:bCs/>
        </w:rPr>
        <w:t xml:space="preserve">It </w:t>
      </w:r>
      <w:r w:rsidR="00366DAC">
        <w:rPr>
          <w:bCs/>
        </w:rPr>
        <w:t>was</w:t>
      </w:r>
      <w:r w:rsidRPr="00FF2F08">
        <w:rPr>
          <w:bCs/>
        </w:rPr>
        <w:t xml:space="preserve"> expedient to make the Tree Preservation Order because the trees overhang the gardens of neighbouring properties </w:t>
      </w:r>
      <w:r w:rsidR="00366DAC">
        <w:rPr>
          <w:bCs/>
        </w:rPr>
        <w:t xml:space="preserve">and </w:t>
      </w:r>
      <w:r w:rsidRPr="00FF2F08">
        <w:rPr>
          <w:bCs/>
        </w:rPr>
        <w:t>are at risk of having branches cut back to the boundary to the detriment of their appearance and amenity value.</w:t>
      </w:r>
    </w:p>
    <w:p w14:paraId="483A6D3C" w14:textId="77777777" w:rsidR="00016869" w:rsidRDefault="00016869" w:rsidP="00016869">
      <w:pPr>
        <w:ind w:right="397"/>
        <w:jc w:val="both"/>
        <w:rPr>
          <w:b/>
          <w:bCs/>
        </w:rPr>
      </w:pPr>
    </w:p>
    <w:p w14:paraId="047D846C" w14:textId="77777777" w:rsidR="00FF2F08" w:rsidRDefault="00FF2F08" w:rsidP="00246A95">
      <w:pPr>
        <w:numPr>
          <w:ilvl w:val="1"/>
          <w:numId w:val="1"/>
        </w:numPr>
        <w:ind w:right="397"/>
        <w:jc w:val="both"/>
        <w:rPr>
          <w:b/>
          <w:bCs/>
        </w:rPr>
      </w:pPr>
      <w:r>
        <w:rPr>
          <w:b/>
          <w:bCs/>
        </w:rPr>
        <w:t xml:space="preserve">Response to </w:t>
      </w:r>
      <w:r w:rsidR="00366DAC">
        <w:rPr>
          <w:b/>
          <w:bCs/>
        </w:rPr>
        <w:t xml:space="preserve">the </w:t>
      </w:r>
      <w:r>
        <w:rPr>
          <w:b/>
          <w:bCs/>
        </w:rPr>
        <w:t>objection</w:t>
      </w:r>
      <w:r w:rsidR="00366DAC">
        <w:rPr>
          <w:b/>
          <w:bCs/>
        </w:rPr>
        <w:t xml:space="preserve"> received</w:t>
      </w:r>
      <w:r w:rsidR="003F2FF0">
        <w:rPr>
          <w:b/>
          <w:bCs/>
        </w:rPr>
        <w:t xml:space="preserve"> </w:t>
      </w:r>
      <w:r w:rsidR="00366DAC">
        <w:rPr>
          <w:b/>
          <w:bCs/>
        </w:rPr>
        <w:t>regarding the</w:t>
      </w:r>
      <w:r w:rsidR="003F2FF0">
        <w:rPr>
          <w:b/>
          <w:bCs/>
        </w:rPr>
        <w:t xml:space="preserve"> protection of cedar tree, T2</w:t>
      </w:r>
      <w:r>
        <w:rPr>
          <w:b/>
          <w:bCs/>
        </w:rPr>
        <w:t>:</w:t>
      </w:r>
    </w:p>
    <w:p w14:paraId="5E4DCCBE" w14:textId="77777777" w:rsidR="003E7B43" w:rsidRPr="003E7B43" w:rsidRDefault="00A512C9" w:rsidP="0052337F">
      <w:pPr>
        <w:numPr>
          <w:ilvl w:val="3"/>
          <w:numId w:val="1"/>
        </w:numPr>
        <w:ind w:left="1418"/>
        <w:jc w:val="both"/>
        <w:rPr>
          <w:b/>
          <w:bCs/>
          <w:lang w:val="en-GB"/>
        </w:rPr>
      </w:pPr>
      <w:r>
        <w:rPr>
          <w:b/>
          <w:bCs/>
          <w:lang w:val="en-GB"/>
        </w:rPr>
        <w:t xml:space="preserve">The </w:t>
      </w:r>
      <w:r w:rsidR="00366DAC">
        <w:rPr>
          <w:b/>
          <w:bCs/>
          <w:lang w:val="en-GB"/>
        </w:rPr>
        <w:t xml:space="preserve">tree </w:t>
      </w:r>
      <w:r>
        <w:rPr>
          <w:b/>
          <w:bCs/>
          <w:lang w:val="en-GB"/>
        </w:rPr>
        <w:t>has been identified as being in stressed condition and not in the best of health in the past, and the l</w:t>
      </w:r>
      <w:r w:rsidR="003F2FF0" w:rsidRPr="0052337F">
        <w:rPr>
          <w:b/>
          <w:bCs/>
          <w:lang w:val="en-GB"/>
        </w:rPr>
        <w:t>ocation is not suitable for healthy life of this species;</w:t>
      </w:r>
      <w:r w:rsidR="003F2FF0" w:rsidRPr="003F2FF0">
        <w:t xml:space="preserve"> </w:t>
      </w:r>
      <w:r w:rsidR="00705CC7" w:rsidRPr="003E7B43">
        <w:rPr>
          <w:bCs/>
          <w:lang w:val="en-GB"/>
        </w:rPr>
        <w:t>while</w:t>
      </w:r>
      <w:r w:rsidR="003F2FF0" w:rsidRPr="003E7B43">
        <w:rPr>
          <w:bCs/>
          <w:lang w:val="en-GB"/>
        </w:rPr>
        <w:t xml:space="preserve"> the relatively confined rooting environment of the highway verge </w:t>
      </w:r>
      <w:r w:rsidR="009307BD" w:rsidRPr="003E7B43">
        <w:rPr>
          <w:bCs/>
          <w:lang w:val="en-GB"/>
        </w:rPr>
        <w:t>might be considered s</w:t>
      </w:r>
      <w:r w:rsidR="003F2FF0" w:rsidRPr="003E7B43">
        <w:rPr>
          <w:bCs/>
          <w:lang w:val="en-GB"/>
        </w:rPr>
        <w:t xml:space="preserve">ub-optimal for the growth of </w:t>
      </w:r>
      <w:r w:rsidR="009307BD" w:rsidRPr="003E7B43">
        <w:rPr>
          <w:bCs/>
          <w:lang w:val="en-GB"/>
        </w:rPr>
        <w:t>a cedar tree</w:t>
      </w:r>
      <w:r w:rsidR="003F2FF0" w:rsidRPr="003E7B43">
        <w:rPr>
          <w:bCs/>
          <w:lang w:val="en-GB"/>
        </w:rPr>
        <w:t>, th</w:t>
      </w:r>
      <w:r w:rsidR="009307BD" w:rsidRPr="003E7B43">
        <w:rPr>
          <w:bCs/>
          <w:lang w:val="en-GB"/>
        </w:rPr>
        <w:t>is</w:t>
      </w:r>
      <w:r w:rsidR="003F2FF0" w:rsidRPr="003E7B43">
        <w:rPr>
          <w:bCs/>
          <w:lang w:val="en-GB"/>
        </w:rPr>
        <w:t xml:space="preserve"> particular specimen appear</w:t>
      </w:r>
      <w:r w:rsidR="009307BD" w:rsidRPr="003E7B43">
        <w:rPr>
          <w:bCs/>
          <w:lang w:val="en-GB"/>
        </w:rPr>
        <w:t>s</w:t>
      </w:r>
      <w:r w:rsidR="003F2FF0" w:rsidRPr="003E7B43">
        <w:rPr>
          <w:bCs/>
          <w:lang w:val="en-GB"/>
        </w:rPr>
        <w:t xml:space="preserve"> to be well adapted and </w:t>
      </w:r>
      <w:r w:rsidR="009307BD" w:rsidRPr="003E7B43">
        <w:rPr>
          <w:bCs/>
          <w:lang w:val="en-GB"/>
        </w:rPr>
        <w:t xml:space="preserve">is currently growing </w:t>
      </w:r>
      <w:r w:rsidR="003F2FF0" w:rsidRPr="003E7B43">
        <w:rPr>
          <w:bCs/>
          <w:lang w:val="en-GB"/>
        </w:rPr>
        <w:t xml:space="preserve">successfully, </w:t>
      </w:r>
      <w:r w:rsidR="009307BD" w:rsidRPr="003E7B43">
        <w:rPr>
          <w:bCs/>
          <w:lang w:val="en-GB"/>
        </w:rPr>
        <w:t xml:space="preserve">showing no signs of any significant physiological ill-health. It is </w:t>
      </w:r>
      <w:r w:rsidR="00705CC7" w:rsidRPr="003E7B43">
        <w:rPr>
          <w:bCs/>
          <w:lang w:val="en-GB"/>
        </w:rPr>
        <w:t xml:space="preserve">reasonable to expect that </w:t>
      </w:r>
      <w:r w:rsidR="009307BD" w:rsidRPr="003E7B43">
        <w:rPr>
          <w:bCs/>
          <w:lang w:val="en-GB"/>
        </w:rPr>
        <w:t xml:space="preserve">the health and structural condition of </w:t>
      </w:r>
      <w:r w:rsidR="00705CC7" w:rsidRPr="003E7B43">
        <w:rPr>
          <w:bCs/>
          <w:lang w:val="en-GB"/>
        </w:rPr>
        <w:t xml:space="preserve">the cedar tree will be </w:t>
      </w:r>
      <w:r w:rsidR="009307BD" w:rsidRPr="003E7B43">
        <w:rPr>
          <w:bCs/>
          <w:lang w:val="en-GB"/>
        </w:rPr>
        <w:t xml:space="preserve">monitored from time to time by </w:t>
      </w:r>
      <w:r w:rsidR="00AD54DD" w:rsidRPr="003E7B43">
        <w:rPr>
          <w:bCs/>
          <w:lang w:val="en-GB"/>
        </w:rPr>
        <w:t xml:space="preserve">the </w:t>
      </w:r>
      <w:r w:rsidR="009307BD" w:rsidRPr="003E7B43">
        <w:rPr>
          <w:bCs/>
          <w:lang w:val="en-GB"/>
        </w:rPr>
        <w:t>owner</w:t>
      </w:r>
      <w:r w:rsidR="00AD54DD" w:rsidRPr="003E7B43">
        <w:rPr>
          <w:bCs/>
          <w:lang w:val="en-GB"/>
        </w:rPr>
        <w:t>, who has a duty of care to ensure that people and property around the tree are not harmed by it</w:t>
      </w:r>
      <w:r w:rsidR="00705CC7" w:rsidRPr="003E7B43">
        <w:rPr>
          <w:bCs/>
          <w:lang w:val="en-GB"/>
        </w:rPr>
        <w:t xml:space="preserve">. </w:t>
      </w:r>
    </w:p>
    <w:p w14:paraId="73AB70DB" w14:textId="77777777" w:rsidR="007D2A22" w:rsidRPr="007D2A22" w:rsidRDefault="00366DAC" w:rsidP="0052337F">
      <w:pPr>
        <w:numPr>
          <w:ilvl w:val="3"/>
          <w:numId w:val="1"/>
        </w:numPr>
        <w:ind w:left="1418"/>
        <w:jc w:val="both"/>
        <w:rPr>
          <w:b/>
          <w:bCs/>
          <w:lang w:val="en-GB"/>
        </w:rPr>
      </w:pPr>
      <w:r>
        <w:rPr>
          <w:b/>
          <w:bCs/>
          <w:lang w:val="en-GB"/>
        </w:rPr>
        <w:t>The t</w:t>
      </w:r>
      <w:r w:rsidR="003F2FF0" w:rsidRPr="007B7563">
        <w:rPr>
          <w:b/>
          <w:bCs/>
          <w:lang w:val="en-GB"/>
        </w:rPr>
        <w:t xml:space="preserve">ree is </w:t>
      </w:r>
      <w:r w:rsidR="00AD54DD" w:rsidRPr="007B7563">
        <w:rPr>
          <w:b/>
          <w:bCs/>
          <w:lang w:val="en-GB"/>
        </w:rPr>
        <w:t>o</w:t>
      </w:r>
      <w:r w:rsidR="003F2FF0" w:rsidRPr="007B7563">
        <w:rPr>
          <w:b/>
          <w:bCs/>
          <w:lang w:val="en-GB"/>
        </w:rPr>
        <w:t>f substantial size</w:t>
      </w:r>
      <w:r w:rsidR="00AD54DD" w:rsidRPr="007B7563">
        <w:rPr>
          <w:b/>
          <w:bCs/>
          <w:lang w:val="en-GB"/>
        </w:rPr>
        <w:t xml:space="preserve">, such that it </w:t>
      </w:r>
      <w:r w:rsidR="003F2FF0" w:rsidRPr="007B7563">
        <w:rPr>
          <w:b/>
          <w:bCs/>
          <w:lang w:val="en-GB"/>
        </w:rPr>
        <w:t xml:space="preserve">imposes a substantial threat to the superstructure and foundations of adjacent </w:t>
      </w:r>
      <w:r w:rsidR="003E7B43" w:rsidRPr="007B7563">
        <w:rPr>
          <w:b/>
          <w:bCs/>
          <w:lang w:val="en-GB"/>
        </w:rPr>
        <w:lastRenderedPageBreak/>
        <w:t xml:space="preserve">built </w:t>
      </w:r>
      <w:r w:rsidR="003F2FF0" w:rsidRPr="007B7563">
        <w:rPr>
          <w:b/>
          <w:bCs/>
          <w:lang w:val="en-GB"/>
        </w:rPr>
        <w:t>structures</w:t>
      </w:r>
      <w:r w:rsidR="003E7B43" w:rsidRPr="007B7563">
        <w:rPr>
          <w:b/>
          <w:bCs/>
          <w:lang w:val="en-GB"/>
        </w:rPr>
        <w:t>, which include a garage and open sub-station</w:t>
      </w:r>
      <w:r w:rsidR="003F2FF0" w:rsidRPr="007B7563">
        <w:rPr>
          <w:b/>
          <w:bCs/>
          <w:lang w:val="en-GB"/>
        </w:rPr>
        <w:t xml:space="preserve">; </w:t>
      </w:r>
      <w:r w:rsidR="003E7B43" w:rsidRPr="007B7563">
        <w:rPr>
          <w:bCs/>
          <w:lang w:val="en-GB"/>
        </w:rPr>
        <w:t xml:space="preserve">no evidence has been made available </w:t>
      </w:r>
      <w:r w:rsidR="007B7563" w:rsidRPr="007B7563">
        <w:rPr>
          <w:bCs/>
          <w:lang w:val="en-GB"/>
        </w:rPr>
        <w:t>t</w:t>
      </w:r>
      <w:r w:rsidR="00907B12">
        <w:rPr>
          <w:bCs/>
          <w:lang w:val="en-GB"/>
        </w:rPr>
        <w:t>o</w:t>
      </w:r>
      <w:r w:rsidR="007B7563" w:rsidRPr="007B7563">
        <w:rPr>
          <w:bCs/>
          <w:lang w:val="en-GB"/>
        </w:rPr>
        <w:t xml:space="preserve"> the Council </w:t>
      </w:r>
      <w:r w:rsidR="003E7B43" w:rsidRPr="007B7563">
        <w:rPr>
          <w:bCs/>
          <w:lang w:val="en-GB"/>
        </w:rPr>
        <w:t xml:space="preserve">of any </w:t>
      </w:r>
      <w:r w:rsidR="00A512C9">
        <w:rPr>
          <w:bCs/>
          <w:lang w:val="en-GB"/>
        </w:rPr>
        <w:t xml:space="preserve">existing </w:t>
      </w:r>
      <w:r w:rsidR="003E7B43" w:rsidRPr="007B7563">
        <w:rPr>
          <w:bCs/>
          <w:lang w:val="en-GB"/>
        </w:rPr>
        <w:t xml:space="preserve">damage being caused to adjacent built structures by the cedar tree. Trees can cause damage directly, as a result of the pressure that is applied to </w:t>
      </w:r>
      <w:r w:rsidR="007B7563" w:rsidRPr="007B7563">
        <w:rPr>
          <w:bCs/>
          <w:lang w:val="en-GB"/>
        </w:rPr>
        <w:t>structures</w:t>
      </w:r>
      <w:r w:rsidR="003E7B43" w:rsidRPr="007B7563">
        <w:rPr>
          <w:bCs/>
          <w:lang w:val="en-GB"/>
        </w:rPr>
        <w:t xml:space="preserve"> th</w:t>
      </w:r>
      <w:r w:rsidR="00907B12">
        <w:rPr>
          <w:bCs/>
          <w:lang w:val="en-GB"/>
        </w:rPr>
        <w:t>at</w:t>
      </w:r>
      <w:r w:rsidR="003E7B43" w:rsidRPr="007B7563">
        <w:rPr>
          <w:bCs/>
          <w:lang w:val="en-GB"/>
        </w:rPr>
        <w:t xml:space="preserve"> are in direct contact with </w:t>
      </w:r>
      <w:r w:rsidR="007B7563" w:rsidRPr="007B7563">
        <w:rPr>
          <w:bCs/>
          <w:lang w:val="en-GB"/>
        </w:rPr>
        <w:t xml:space="preserve">their trunk, roots, </w:t>
      </w:r>
      <w:proofErr w:type="gramStart"/>
      <w:r w:rsidR="007B7563" w:rsidRPr="007B7563">
        <w:rPr>
          <w:bCs/>
          <w:lang w:val="en-GB"/>
        </w:rPr>
        <w:t>branches</w:t>
      </w:r>
      <w:proofErr w:type="gramEnd"/>
      <w:r w:rsidR="007B7563" w:rsidRPr="007B7563">
        <w:rPr>
          <w:bCs/>
          <w:lang w:val="en-GB"/>
        </w:rPr>
        <w:t xml:space="preserve"> </w:t>
      </w:r>
      <w:proofErr w:type="spellStart"/>
      <w:r w:rsidR="007B7563" w:rsidRPr="007B7563">
        <w:rPr>
          <w:bCs/>
          <w:lang w:val="en-GB"/>
        </w:rPr>
        <w:t>etc</w:t>
      </w:r>
      <w:proofErr w:type="spellEnd"/>
      <w:r w:rsidR="007B7563" w:rsidRPr="007B7563">
        <w:rPr>
          <w:bCs/>
          <w:lang w:val="en-GB"/>
        </w:rPr>
        <w:t xml:space="preserve">, </w:t>
      </w:r>
      <w:r w:rsidR="00907B12">
        <w:rPr>
          <w:bCs/>
          <w:lang w:val="en-GB"/>
        </w:rPr>
        <w:t xml:space="preserve">which </w:t>
      </w:r>
      <w:r w:rsidR="007B7563" w:rsidRPr="007B7563">
        <w:rPr>
          <w:bCs/>
          <w:lang w:val="en-GB"/>
        </w:rPr>
        <w:t xml:space="preserve">increase </w:t>
      </w:r>
      <w:r w:rsidR="00907B12">
        <w:rPr>
          <w:bCs/>
          <w:lang w:val="en-GB"/>
        </w:rPr>
        <w:t xml:space="preserve">in </w:t>
      </w:r>
      <w:r w:rsidR="007B7563" w:rsidRPr="007B7563">
        <w:rPr>
          <w:bCs/>
          <w:lang w:val="en-GB"/>
        </w:rPr>
        <w:t xml:space="preserve">size over time with growth. Or indirectly, as a result of </w:t>
      </w:r>
      <w:r w:rsidR="00907B12">
        <w:rPr>
          <w:bCs/>
          <w:lang w:val="en-GB"/>
        </w:rPr>
        <w:t xml:space="preserve">roots </w:t>
      </w:r>
      <w:r w:rsidR="007B7563" w:rsidRPr="007B7563">
        <w:rPr>
          <w:bCs/>
          <w:lang w:val="en-GB"/>
        </w:rPr>
        <w:t xml:space="preserve">taking moisture from </w:t>
      </w:r>
      <w:r w:rsidR="00E607D4">
        <w:rPr>
          <w:bCs/>
          <w:lang w:val="en-GB"/>
        </w:rPr>
        <w:t>the</w:t>
      </w:r>
      <w:r w:rsidR="007B7563" w:rsidRPr="007B7563">
        <w:rPr>
          <w:bCs/>
          <w:lang w:val="en-GB"/>
        </w:rPr>
        <w:t xml:space="preserve"> soil which has potential to shrink when it is dries out </w:t>
      </w:r>
      <w:proofErr w:type="spellStart"/>
      <w:r w:rsidR="007B7563" w:rsidRPr="007B7563">
        <w:rPr>
          <w:bCs/>
          <w:lang w:val="en-GB"/>
        </w:rPr>
        <w:t>e.g</w:t>
      </w:r>
      <w:proofErr w:type="spellEnd"/>
      <w:r w:rsidR="007B7563" w:rsidRPr="007B7563">
        <w:rPr>
          <w:bCs/>
          <w:lang w:val="en-GB"/>
        </w:rPr>
        <w:t xml:space="preserve"> </w:t>
      </w:r>
      <w:r w:rsidR="000C7C4B">
        <w:rPr>
          <w:bCs/>
          <w:lang w:val="en-GB"/>
        </w:rPr>
        <w:t xml:space="preserve">tree-related </w:t>
      </w:r>
      <w:r w:rsidR="007B7563" w:rsidRPr="007B7563">
        <w:rPr>
          <w:bCs/>
          <w:lang w:val="en-GB"/>
        </w:rPr>
        <w:t>clay subsidence. It is difficult to predict the risk that a tree might cause damage as it grows because it depends on</w:t>
      </w:r>
      <w:r w:rsidR="000C7C4B">
        <w:rPr>
          <w:bCs/>
          <w:lang w:val="en-GB"/>
        </w:rPr>
        <w:t xml:space="preserve"> </w:t>
      </w:r>
      <w:r w:rsidR="007B7563" w:rsidRPr="007B7563">
        <w:rPr>
          <w:bCs/>
          <w:lang w:val="en-GB"/>
        </w:rPr>
        <w:t xml:space="preserve">a number of (often unknown) variable factors. </w:t>
      </w:r>
    </w:p>
    <w:p w14:paraId="04108731" w14:textId="77777777" w:rsidR="007D2A22" w:rsidRPr="00870CFA" w:rsidRDefault="00907B12" w:rsidP="007D2A22">
      <w:pPr>
        <w:numPr>
          <w:ilvl w:val="3"/>
          <w:numId w:val="1"/>
        </w:numPr>
        <w:ind w:left="1418"/>
        <w:jc w:val="both"/>
        <w:rPr>
          <w:b/>
          <w:bCs/>
          <w:lang w:val="en-GB"/>
        </w:rPr>
      </w:pPr>
      <w:r w:rsidRPr="007D2A22">
        <w:rPr>
          <w:bCs/>
          <w:lang w:val="en-GB"/>
        </w:rPr>
        <w:t xml:space="preserve">However, </w:t>
      </w:r>
      <w:r w:rsidR="007B7563" w:rsidRPr="007D2A22">
        <w:rPr>
          <w:bCs/>
          <w:lang w:val="en-GB"/>
        </w:rPr>
        <w:t xml:space="preserve">British Standard 5837:2012 includes </w:t>
      </w:r>
      <w:r w:rsidR="000C7C4B" w:rsidRPr="007D2A22">
        <w:rPr>
          <w:bCs/>
          <w:lang w:val="en-GB"/>
        </w:rPr>
        <w:t xml:space="preserve">some </w:t>
      </w:r>
      <w:r w:rsidR="007B7563" w:rsidRPr="007D2A22">
        <w:rPr>
          <w:bCs/>
          <w:lang w:val="en-GB"/>
        </w:rPr>
        <w:t>guidance on minimum distance between young tree</w:t>
      </w:r>
      <w:r w:rsidR="00321E2F" w:rsidRPr="00870CFA">
        <w:rPr>
          <w:bCs/>
          <w:lang w:val="en-GB"/>
        </w:rPr>
        <w:t>s</w:t>
      </w:r>
      <w:r w:rsidR="006A61C4" w:rsidRPr="00870CFA">
        <w:rPr>
          <w:bCs/>
          <w:lang w:val="en-GB"/>
        </w:rPr>
        <w:t xml:space="preserve">, and new plantings, </w:t>
      </w:r>
      <w:r w:rsidR="007B7563" w:rsidRPr="00870CFA">
        <w:rPr>
          <w:bCs/>
          <w:lang w:val="en-GB"/>
        </w:rPr>
        <w:t>and various types of structure to avoid direct damage</w:t>
      </w:r>
      <w:r w:rsidR="00321E2F" w:rsidRPr="00870CFA">
        <w:rPr>
          <w:bCs/>
          <w:lang w:val="en-GB"/>
        </w:rPr>
        <w:t xml:space="preserve"> as the trees grow</w:t>
      </w:r>
      <w:r w:rsidR="007B7563" w:rsidRPr="00870CFA">
        <w:rPr>
          <w:bCs/>
          <w:lang w:val="en-GB"/>
        </w:rPr>
        <w:t xml:space="preserve">. So, to avoid direct damage to lightly loaded structures, such as garages, it is recommended that trees that have potential to grow to have a stem diameter in excess of 600mm, should be located at least 1.5m away. The </w:t>
      </w:r>
      <w:r w:rsidR="00321E2F" w:rsidRPr="00870CFA">
        <w:rPr>
          <w:bCs/>
          <w:lang w:val="en-GB"/>
        </w:rPr>
        <w:t xml:space="preserve">stem diameter of the </w:t>
      </w:r>
      <w:r w:rsidR="007B7563" w:rsidRPr="00870CFA">
        <w:rPr>
          <w:bCs/>
          <w:lang w:val="en-GB"/>
        </w:rPr>
        <w:t>cedar tree</w:t>
      </w:r>
      <w:r w:rsidR="00321E2F" w:rsidRPr="00870CFA">
        <w:rPr>
          <w:bCs/>
          <w:lang w:val="en-GB"/>
        </w:rPr>
        <w:t xml:space="preserve"> is </w:t>
      </w:r>
      <w:r w:rsidR="006A61C4" w:rsidRPr="00870CFA">
        <w:rPr>
          <w:bCs/>
          <w:lang w:val="en-GB"/>
        </w:rPr>
        <w:t>approximately 650mm</w:t>
      </w:r>
      <w:r w:rsidR="00321E2F" w:rsidRPr="00870CFA">
        <w:rPr>
          <w:bCs/>
          <w:lang w:val="en-GB"/>
        </w:rPr>
        <w:t xml:space="preserve">, but </w:t>
      </w:r>
      <w:r w:rsidR="006A61C4" w:rsidRPr="00870CFA">
        <w:rPr>
          <w:bCs/>
          <w:lang w:val="en-GB"/>
        </w:rPr>
        <w:t xml:space="preserve">at its nearest the trunk is approximately 1.70m </w:t>
      </w:r>
      <w:r w:rsidR="007B7563" w:rsidRPr="00870CFA">
        <w:rPr>
          <w:bCs/>
          <w:lang w:val="en-GB"/>
        </w:rPr>
        <w:t xml:space="preserve">from the </w:t>
      </w:r>
      <w:r w:rsidR="006A61C4" w:rsidRPr="00870CFA">
        <w:rPr>
          <w:bCs/>
          <w:lang w:val="en-GB"/>
        </w:rPr>
        <w:t xml:space="preserve">garage wall, so that the tree was probably planted approx. 2.0 m from the garage building </w:t>
      </w:r>
      <w:r w:rsidR="00321E2F" w:rsidRPr="00870CFA">
        <w:rPr>
          <w:bCs/>
          <w:lang w:val="en-GB"/>
        </w:rPr>
        <w:t>. On</w:t>
      </w:r>
      <w:r w:rsidR="007B7563" w:rsidRPr="00870CFA">
        <w:rPr>
          <w:bCs/>
          <w:lang w:val="en-GB"/>
        </w:rPr>
        <w:t xml:space="preserve"> this basis it is considered that the risk of direct damage </w:t>
      </w:r>
      <w:r w:rsidR="006A61C4" w:rsidRPr="00870CFA">
        <w:rPr>
          <w:bCs/>
          <w:lang w:val="en-GB"/>
        </w:rPr>
        <w:t xml:space="preserve">to the garage </w:t>
      </w:r>
      <w:r w:rsidR="007B7563" w:rsidRPr="00870CFA">
        <w:rPr>
          <w:bCs/>
          <w:lang w:val="en-GB"/>
        </w:rPr>
        <w:t xml:space="preserve">in the future is low. </w:t>
      </w:r>
    </w:p>
    <w:p w14:paraId="69B486FD" w14:textId="5EDFBFF1" w:rsidR="003F2FF0" w:rsidRPr="007D2A22" w:rsidRDefault="007B7563" w:rsidP="007D2A22">
      <w:pPr>
        <w:numPr>
          <w:ilvl w:val="3"/>
          <w:numId w:val="1"/>
        </w:numPr>
        <w:ind w:left="1418"/>
        <w:jc w:val="both"/>
        <w:rPr>
          <w:b/>
          <w:bCs/>
          <w:lang w:val="en-GB"/>
        </w:rPr>
      </w:pPr>
      <w:r w:rsidRPr="007D2A22">
        <w:rPr>
          <w:bCs/>
          <w:lang w:val="en-GB"/>
        </w:rPr>
        <w:t xml:space="preserve">The risk of indirect subsidence damage depends </w:t>
      </w:r>
      <w:r w:rsidR="00907B12" w:rsidRPr="007D2A22">
        <w:rPr>
          <w:bCs/>
          <w:lang w:val="en-GB"/>
        </w:rPr>
        <w:t xml:space="preserve">largely </w:t>
      </w:r>
      <w:r w:rsidRPr="007D2A22">
        <w:rPr>
          <w:bCs/>
          <w:lang w:val="en-GB"/>
        </w:rPr>
        <w:t>on the</w:t>
      </w:r>
      <w:r w:rsidR="00907B12" w:rsidRPr="007D2A22">
        <w:rPr>
          <w:bCs/>
          <w:lang w:val="en-GB"/>
        </w:rPr>
        <w:t xml:space="preserve"> potential of the soil to shrink</w:t>
      </w:r>
      <w:r w:rsidR="000C7C4B" w:rsidRPr="00870CFA">
        <w:rPr>
          <w:bCs/>
          <w:lang w:val="en-GB"/>
        </w:rPr>
        <w:t xml:space="preserve"> </w:t>
      </w:r>
      <w:r w:rsidR="0052337F" w:rsidRPr="00870CFA">
        <w:rPr>
          <w:bCs/>
          <w:lang w:val="en-GB"/>
        </w:rPr>
        <w:t xml:space="preserve">(it’s ‘shrinkability’) </w:t>
      </w:r>
      <w:r w:rsidR="000C7C4B" w:rsidRPr="00870CFA">
        <w:rPr>
          <w:bCs/>
          <w:lang w:val="en-GB"/>
        </w:rPr>
        <w:t>when dried by tree roots amongst other factors</w:t>
      </w:r>
      <w:r w:rsidR="0052337F" w:rsidRPr="00870CFA">
        <w:rPr>
          <w:bCs/>
          <w:lang w:val="en-GB"/>
        </w:rPr>
        <w:t>.</w:t>
      </w:r>
      <w:r w:rsidR="000C7C4B" w:rsidRPr="00870CFA">
        <w:rPr>
          <w:bCs/>
          <w:lang w:val="en-GB"/>
        </w:rPr>
        <w:t xml:space="preserve"> </w:t>
      </w:r>
      <w:r w:rsidR="00321E2F" w:rsidRPr="00870CFA">
        <w:rPr>
          <w:bCs/>
          <w:lang w:val="en-GB"/>
        </w:rPr>
        <w:t>The s</w:t>
      </w:r>
      <w:r w:rsidR="0052337F" w:rsidRPr="00870CFA">
        <w:rPr>
          <w:bCs/>
          <w:lang w:val="en-GB"/>
        </w:rPr>
        <w:t>hrinkabilty of the soil is not known</w:t>
      </w:r>
      <w:r w:rsidR="00A512C9" w:rsidRPr="00870CFA">
        <w:rPr>
          <w:bCs/>
          <w:lang w:val="en-GB"/>
        </w:rPr>
        <w:t xml:space="preserve"> in this location</w:t>
      </w:r>
      <w:r w:rsidR="007D2A22">
        <w:rPr>
          <w:bCs/>
          <w:lang w:val="en-GB"/>
        </w:rPr>
        <w:t xml:space="preserve">, but as </w:t>
      </w:r>
      <w:r w:rsidR="000C7C4B" w:rsidRPr="007D2A22">
        <w:rPr>
          <w:bCs/>
          <w:lang w:val="en-GB"/>
        </w:rPr>
        <w:t xml:space="preserve">there </w:t>
      </w:r>
      <w:r w:rsidR="007D2A22">
        <w:rPr>
          <w:bCs/>
          <w:lang w:val="en-GB"/>
        </w:rPr>
        <w:t xml:space="preserve">appears to be </w:t>
      </w:r>
      <w:r w:rsidR="000C7C4B" w:rsidRPr="007D2A22">
        <w:rPr>
          <w:bCs/>
          <w:lang w:val="en-GB"/>
        </w:rPr>
        <w:t xml:space="preserve">no </w:t>
      </w:r>
      <w:r w:rsidR="00870CFA">
        <w:rPr>
          <w:bCs/>
          <w:lang w:val="en-GB"/>
        </w:rPr>
        <w:t xml:space="preserve">evidence of </w:t>
      </w:r>
      <w:r w:rsidR="000C7C4B" w:rsidRPr="007D2A22">
        <w:rPr>
          <w:bCs/>
          <w:lang w:val="en-GB"/>
        </w:rPr>
        <w:t xml:space="preserve">damage </w:t>
      </w:r>
      <w:r w:rsidR="00870CFA">
        <w:rPr>
          <w:bCs/>
          <w:lang w:val="en-GB"/>
        </w:rPr>
        <w:t xml:space="preserve">to the wall </w:t>
      </w:r>
      <w:r w:rsidR="00E607D4" w:rsidRPr="007D2A22">
        <w:rPr>
          <w:bCs/>
          <w:lang w:val="en-GB"/>
        </w:rPr>
        <w:t xml:space="preserve">by </w:t>
      </w:r>
      <w:r w:rsidR="000C7C4B" w:rsidRPr="007D2A22">
        <w:rPr>
          <w:bCs/>
          <w:lang w:val="en-GB"/>
        </w:rPr>
        <w:t>subsidence</w:t>
      </w:r>
      <w:r w:rsidR="008D221C" w:rsidRPr="007D2A22">
        <w:rPr>
          <w:bCs/>
          <w:lang w:val="en-GB"/>
        </w:rPr>
        <w:t xml:space="preserve"> (typically cracking)</w:t>
      </w:r>
      <w:r w:rsidR="000C7C4B" w:rsidRPr="007D2A22">
        <w:rPr>
          <w:bCs/>
          <w:lang w:val="en-GB"/>
        </w:rPr>
        <w:t xml:space="preserve"> currently</w:t>
      </w:r>
      <w:r w:rsidR="00321E2F" w:rsidRPr="007D2A22">
        <w:rPr>
          <w:bCs/>
          <w:lang w:val="en-GB"/>
        </w:rPr>
        <w:t>,</w:t>
      </w:r>
      <w:r w:rsidR="000C7C4B" w:rsidRPr="007D2A22">
        <w:rPr>
          <w:bCs/>
          <w:lang w:val="en-GB"/>
        </w:rPr>
        <w:t xml:space="preserve"> </w:t>
      </w:r>
      <w:r w:rsidR="00870CFA">
        <w:rPr>
          <w:bCs/>
          <w:lang w:val="en-GB"/>
        </w:rPr>
        <w:t xml:space="preserve">or </w:t>
      </w:r>
      <w:r w:rsidR="000C7C4B" w:rsidRPr="007D2A22">
        <w:rPr>
          <w:bCs/>
          <w:lang w:val="en-GB"/>
        </w:rPr>
        <w:t>historically</w:t>
      </w:r>
      <w:r w:rsidR="00321E2F" w:rsidRPr="007D2A22">
        <w:rPr>
          <w:bCs/>
          <w:lang w:val="en-GB"/>
        </w:rPr>
        <w:t xml:space="preserve">, then </w:t>
      </w:r>
      <w:r w:rsidR="000C7C4B" w:rsidRPr="007D2A22">
        <w:rPr>
          <w:bCs/>
          <w:lang w:val="en-GB"/>
        </w:rPr>
        <w:t>giv</w:t>
      </w:r>
      <w:r w:rsidR="00907B12" w:rsidRPr="007D2A22">
        <w:rPr>
          <w:bCs/>
          <w:lang w:val="en-GB"/>
        </w:rPr>
        <w:t xml:space="preserve">en the </w:t>
      </w:r>
      <w:r w:rsidR="000C7C4B" w:rsidRPr="007D2A22">
        <w:rPr>
          <w:bCs/>
          <w:lang w:val="en-GB"/>
        </w:rPr>
        <w:t>size and age of the tree relative to the adjacent wall of the garage building</w:t>
      </w:r>
      <w:r w:rsidR="00A512C9" w:rsidRPr="00870CFA">
        <w:rPr>
          <w:bCs/>
          <w:lang w:val="en-GB"/>
        </w:rPr>
        <w:t>,</w:t>
      </w:r>
      <w:r w:rsidR="00907B12" w:rsidRPr="00870CFA">
        <w:rPr>
          <w:bCs/>
          <w:lang w:val="en-GB"/>
        </w:rPr>
        <w:t xml:space="preserve"> </w:t>
      </w:r>
      <w:r w:rsidR="000C7C4B" w:rsidRPr="00870CFA">
        <w:rPr>
          <w:bCs/>
          <w:lang w:val="en-GB"/>
        </w:rPr>
        <w:t>it seems unlikely that</w:t>
      </w:r>
      <w:r w:rsidR="00907B12" w:rsidRPr="00870CFA">
        <w:rPr>
          <w:bCs/>
          <w:lang w:val="en-GB"/>
        </w:rPr>
        <w:t xml:space="preserve"> </w:t>
      </w:r>
      <w:r w:rsidR="000C7C4B" w:rsidRPr="00870CFA">
        <w:rPr>
          <w:bCs/>
          <w:lang w:val="en-GB"/>
        </w:rPr>
        <w:t xml:space="preserve">the soil </w:t>
      </w:r>
      <w:r w:rsidR="008D221C" w:rsidRPr="00870CFA">
        <w:rPr>
          <w:bCs/>
          <w:lang w:val="en-GB"/>
        </w:rPr>
        <w:t xml:space="preserve">is </w:t>
      </w:r>
      <w:r w:rsidR="00A512C9" w:rsidRPr="00870CFA">
        <w:rPr>
          <w:bCs/>
          <w:lang w:val="en-GB"/>
        </w:rPr>
        <w:t>shrinkable</w:t>
      </w:r>
      <w:r w:rsidR="000C7C4B" w:rsidRPr="00870CFA">
        <w:rPr>
          <w:bCs/>
          <w:lang w:val="en-GB"/>
        </w:rPr>
        <w:t>.</w:t>
      </w:r>
      <w:r w:rsidR="006A61C4" w:rsidRPr="00870CFA">
        <w:rPr>
          <w:bCs/>
          <w:lang w:val="en-GB"/>
        </w:rPr>
        <w:t xml:space="preserve"> In which case the risk of indirect damage would be </w:t>
      </w:r>
      <w:r w:rsidR="006A61C4" w:rsidRPr="00870CFA">
        <w:rPr>
          <w:bCs/>
          <w:lang w:val="en-GB"/>
        </w:rPr>
        <w:lastRenderedPageBreak/>
        <w:t>very low.</w:t>
      </w:r>
    </w:p>
    <w:p w14:paraId="4DAB7C50" w14:textId="18265587" w:rsidR="003E7B43" w:rsidRDefault="00E607D4" w:rsidP="0052337F">
      <w:pPr>
        <w:numPr>
          <w:ilvl w:val="3"/>
          <w:numId w:val="1"/>
        </w:numPr>
        <w:ind w:left="1418"/>
        <w:jc w:val="both"/>
        <w:rPr>
          <w:bCs/>
          <w:lang w:val="en-GB"/>
        </w:rPr>
      </w:pPr>
      <w:r>
        <w:rPr>
          <w:b/>
          <w:bCs/>
          <w:lang w:val="en-GB"/>
        </w:rPr>
        <w:t>The t</w:t>
      </w:r>
      <w:r w:rsidR="003E7B43" w:rsidRPr="003E7B43">
        <w:rPr>
          <w:b/>
          <w:bCs/>
          <w:lang w:val="en-GB"/>
        </w:rPr>
        <w:t>ree will require significant maintenance in the future to avoid damage to proper</w:t>
      </w:r>
      <w:r w:rsidR="003E7B43">
        <w:rPr>
          <w:b/>
          <w:bCs/>
          <w:lang w:val="en-GB"/>
        </w:rPr>
        <w:t xml:space="preserve">ty and potential safety issues; </w:t>
      </w:r>
      <w:r w:rsidR="003E7B43" w:rsidRPr="003E7B43">
        <w:rPr>
          <w:bCs/>
          <w:lang w:val="en-GB"/>
        </w:rPr>
        <w:t>if</w:t>
      </w:r>
      <w:r w:rsidR="003E7B43">
        <w:rPr>
          <w:b/>
          <w:bCs/>
          <w:lang w:val="en-GB"/>
        </w:rPr>
        <w:t xml:space="preserve"> </w:t>
      </w:r>
      <w:r w:rsidR="003E7B43" w:rsidRPr="003E7B43">
        <w:rPr>
          <w:bCs/>
          <w:lang w:val="en-GB"/>
        </w:rPr>
        <w:t>confirmed</w:t>
      </w:r>
      <w:r>
        <w:rPr>
          <w:bCs/>
          <w:lang w:val="en-GB"/>
        </w:rPr>
        <w:t>,</w:t>
      </w:r>
      <w:r w:rsidR="003E7B43" w:rsidRPr="003E7B43">
        <w:rPr>
          <w:bCs/>
          <w:lang w:val="en-GB"/>
        </w:rPr>
        <w:t xml:space="preserve"> </w:t>
      </w:r>
      <w:r w:rsidR="003E7B43">
        <w:rPr>
          <w:bCs/>
          <w:lang w:val="en-GB"/>
        </w:rPr>
        <w:t xml:space="preserve">the TPO allows the owner of the tree, or any other interested party, to apply for consent to undertake works to the tree at any time. So, if the health or condition </w:t>
      </w:r>
      <w:r>
        <w:rPr>
          <w:bCs/>
          <w:lang w:val="en-GB"/>
        </w:rPr>
        <w:t xml:space="preserve">of the </w:t>
      </w:r>
      <w:r w:rsidR="003E7B43">
        <w:rPr>
          <w:bCs/>
          <w:lang w:val="en-GB"/>
        </w:rPr>
        <w:t>tree declines significantly for any reason, at any time, the owner can apply for TPO consent to carry out appropriate remedial works</w:t>
      </w:r>
      <w:proofErr w:type="gramStart"/>
      <w:r w:rsidR="008D221C">
        <w:rPr>
          <w:bCs/>
          <w:lang w:val="en-GB"/>
        </w:rPr>
        <w:t>,.</w:t>
      </w:r>
      <w:proofErr w:type="gramEnd"/>
      <w:r w:rsidR="008D221C">
        <w:rPr>
          <w:bCs/>
          <w:lang w:val="en-GB"/>
        </w:rPr>
        <w:t xml:space="preserve"> Similarly, if there is </w:t>
      </w:r>
      <w:r w:rsidR="00016869">
        <w:rPr>
          <w:bCs/>
          <w:lang w:val="en-GB"/>
        </w:rPr>
        <w:t xml:space="preserve">technical </w:t>
      </w:r>
      <w:r w:rsidR="008D221C">
        <w:rPr>
          <w:bCs/>
          <w:lang w:val="en-GB"/>
        </w:rPr>
        <w:t xml:space="preserve">evidence that the tree is damaging </w:t>
      </w:r>
      <w:r>
        <w:rPr>
          <w:bCs/>
          <w:lang w:val="en-GB"/>
        </w:rPr>
        <w:t xml:space="preserve">a </w:t>
      </w:r>
      <w:r w:rsidR="008D221C">
        <w:rPr>
          <w:bCs/>
          <w:lang w:val="en-GB"/>
        </w:rPr>
        <w:t>surrounding built structure, or is likely to cause damage</w:t>
      </w:r>
      <w:r w:rsidR="00016869">
        <w:rPr>
          <w:bCs/>
          <w:lang w:val="en-GB"/>
        </w:rPr>
        <w:t xml:space="preserve"> in the future, </w:t>
      </w:r>
      <w:r w:rsidR="008D221C">
        <w:rPr>
          <w:bCs/>
          <w:lang w:val="en-GB"/>
        </w:rPr>
        <w:t>the TPO allows an application for TPO consent to be made to take appropriate remedial action. O</w:t>
      </w:r>
      <w:r w:rsidR="003E7B43">
        <w:rPr>
          <w:bCs/>
          <w:lang w:val="en-GB"/>
        </w:rPr>
        <w:t>n-going routine maintenance works, such as removal of defective branches that are at risk of breaking and falling</w:t>
      </w:r>
      <w:r w:rsidR="00C23F00">
        <w:rPr>
          <w:bCs/>
          <w:lang w:val="en-GB"/>
        </w:rPr>
        <w:t>,</w:t>
      </w:r>
      <w:r w:rsidR="003E7B43">
        <w:rPr>
          <w:bCs/>
          <w:lang w:val="en-GB"/>
        </w:rPr>
        <w:t xml:space="preserve"> or pruning to lift the crown of the tree over the road and adjacent properties to give adequate clearance</w:t>
      </w:r>
      <w:r w:rsidR="00C23F00">
        <w:rPr>
          <w:bCs/>
          <w:lang w:val="en-GB"/>
        </w:rPr>
        <w:t>,</w:t>
      </w:r>
      <w:r w:rsidR="003E7B43">
        <w:rPr>
          <w:bCs/>
          <w:lang w:val="en-GB"/>
        </w:rPr>
        <w:t xml:space="preserve"> can also be undertaken with TPO consent.</w:t>
      </w:r>
      <w:r w:rsidR="008D221C">
        <w:rPr>
          <w:bCs/>
          <w:lang w:val="en-GB"/>
        </w:rPr>
        <w:t xml:space="preserve"> </w:t>
      </w:r>
      <w:r w:rsidR="003E7B43">
        <w:rPr>
          <w:bCs/>
          <w:lang w:val="en-GB"/>
        </w:rPr>
        <w:t xml:space="preserve">Applications for such consent will be considered </w:t>
      </w:r>
      <w:r w:rsidR="00694318">
        <w:rPr>
          <w:bCs/>
          <w:lang w:val="en-GB"/>
        </w:rPr>
        <w:t xml:space="preserve">by the Council </w:t>
      </w:r>
      <w:r w:rsidR="003E7B43">
        <w:rPr>
          <w:bCs/>
          <w:lang w:val="en-GB"/>
        </w:rPr>
        <w:t xml:space="preserve">on their merits at the time they are made. </w:t>
      </w:r>
      <w:r w:rsidR="008D221C">
        <w:rPr>
          <w:bCs/>
          <w:lang w:val="en-GB"/>
        </w:rPr>
        <w:t>If consent is refused –</w:t>
      </w:r>
      <w:r w:rsidR="00694318">
        <w:rPr>
          <w:bCs/>
          <w:lang w:val="en-GB"/>
        </w:rPr>
        <w:t xml:space="preserve"> </w:t>
      </w:r>
      <w:r w:rsidR="008D221C">
        <w:rPr>
          <w:bCs/>
          <w:lang w:val="en-GB"/>
        </w:rPr>
        <w:t>or granted with conditions –</w:t>
      </w:r>
      <w:r w:rsidR="00C23F00">
        <w:rPr>
          <w:bCs/>
          <w:lang w:val="en-GB"/>
        </w:rPr>
        <w:t xml:space="preserve"> an</w:t>
      </w:r>
      <w:r w:rsidR="008D221C">
        <w:rPr>
          <w:bCs/>
          <w:lang w:val="en-GB"/>
        </w:rPr>
        <w:t xml:space="preserve"> applicant can seek compensation for any loss or damage which</w:t>
      </w:r>
      <w:r w:rsidR="00E15311">
        <w:rPr>
          <w:bCs/>
          <w:lang w:val="en-GB"/>
        </w:rPr>
        <w:t xml:space="preserve"> occurs as a</w:t>
      </w:r>
      <w:r w:rsidR="008D221C">
        <w:rPr>
          <w:bCs/>
          <w:lang w:val="en-GB"/>
        </w:rPr>
        <w:t xml:space="preserve"> result</w:t>
      </w:r>
      <w:r w:rsidR="00E15311">
        <w:rPr>
          <w:bCs/>
          <w:lang w:val="en-GB"/>
        </w:rPr>
        <w:t xml:space="preserve"> of that decision</w:t>
      </w:r>
      <w:r w:rsidR="008D221C">
        <w:rPr>
          <w:bCs/>
          <w:lang w:val="en-GB"/>
        </w:rPr>
        <w:t>.</w:t>
      </w:r>
      <w:r>
        <w:rPr>
          <w:bCs/>
          <w:lang w:val="en-GB"/>
        </w:rPr>
        <w:t xml:space="preserve"> An applicant can also appeal against a refusal of consent</w:t>
      </w:r>
      <w:r w:rsidR="00E15311">
        <w:rPr>
          <w:bCs/>
          <w:lang w:val="en-GB"/>
        </w:rPr>
        <w:t xml:space="preserve"> or imposition of a condition</w:t>
      </w:r>
      <w:r>
        <w:rPr>
          <w:bCs/>
          <w:lang w:val="en-GB"/>
        </w:rPr>
        <w:t>.</w:t>
      </w:r>
    </w:p>
    <w:p w14:paraId="46CCF230" w14:textId="77777777" w:rsidR="00016869" w:rsidRDefault="00016869" w:rsidP="00016869">
      <w:pPr>
        <w:ind w:right="397"/>
        <w:jc w:val="both"/>
        <w:rPr>
          <w:b/>
          <w:bCs/>
        </w:rPr>
      </w:pPr>
    </w:p>
    <w:p w14:paraId="3F73EF35" w14:textId="77777777" w:rsidR="003F2FF0" w:rsidRPr="00016869" w:rsidRDefault="003F2FF0" w:rsidP="003F2FF0">
      <w:pPr>
        <w:numPr>
          <w:ilvl w:val="1"/>
          <w:numId w:val="1"/>
        </w:numPr>
        <w:ind w:left="720" w:right="397"/>
        <w:jc w:val="both"/>
        <w:rPr>
          <w:b/>
          <w:bCs/>
        </w:rPr>
      </w:pPr>
      <w:r w:rsidRPr="008D224C">
        <w:rPr>
          <w:b/>
          <w:bCs/>
        </w:rPr>
        <w:t>Other issues:</w:t>
      </w:r>
      <w:r w:rsidR="003E7B43" w:rsidRPr="008D224C">
        <w:rPr>
          <w:b/>
          <w:bCs/>
        </w:rPr>
        <w:t xml:space="preserve"> </w:t>
      </w:r>
      <w:r w:rsidR="000A17F8" w:rsidRPr="008D224C">
        <w:rPr>
          <w:bCs/>
        </w:rPr>
        <w:t>The land on which</w:t>
      </w:r>
      <w:r w:rsidR="000A17F8" w:rsidRPr="008D224C">
        <w:rPr>
          <w:b/>
          <w:bCs/>
        </w:rPr>
        <w:t xml:space="preserve"> </w:t>
      </w:r>
      <w:r w:rsidR="000A17F8" w:rsidRPr="008D224C">
        <w:rPr>
          <w:bCs/>
        </w:rPr>
        <w:t xml:space="preserve">the trees stand is privately owned by the HEL management company. However, it is </w:t>
      </w:r>
      <w:r w:rsidR="008D224C">
        <w:rPr>
          <w:bCs/>
        </w:rPr>
        <w:t xml:space="preserve">understood that the land is </w:t>
      </w:r>
      <w:r w:rsidR="000A17F8" w:rsidRPr="008D224C">
        <w:rPr>
          <w:bCs/>
        </w:rPr>
        <w:t xml:space="preserve">also designated Highway </w:t>
      </w:r>
      <w:r w:rsidR="008D224C">
        <w:rPr>
          <w:bCs/>
        </w:rPr>
        <w:t>(HMPE)</w:t>
      </w:r>
      <w:r w:rsidR="0052337F">
        <w:rPr>
          <w:bCs/>
        </w:rPr>
        <w:t>, so that the Highway Authority has some responsibility for the management for it and the tree</w:t>
      </w:r>
      <w:r w:rsidR="00C23F00">
        <w:rPr>
          <w:bCs/>
        </w:rPr>
        <w:t>s</w:t>
      </w:r>
      <w:r w:rsidR="0052337F">
        <w:rPr>
          <w:bCs/>
        </w:rPr>
        <w:t xml:space="preserve"> growing on it. </w:t>
      </w:r>
      <w:r w:rsidR="008D224C">
        <w:rPr>
          <w:bCs/>
        </w:rPr>
        <w:t>While it is not usually considered to be expedient to make a TPO to protect trees which are</w:t>
      </w:r>
      <w:r w:rsidR="0052337F">
        <w:rPr>
          <w:bCs/>
        </w:rPr>
        <w:t xml:space="preserve"> entirely</w:t>
      </w:r>
      <w:r w:rsidR="008D224C">
        <w:rPr>
          <w:bCs/>
        </w:rPr>
        <w:t xml:space="preserve"> owned and managed by </w:t>
      </w:r>
      <w:r w:rsidR="00E15311">
        <w:rPr>
          <w:bCs/>
        </w:rPr>
        <w:t xml:space="preserve">the </w:t>
      </w:r>
      <w:r w:rsidR="00C23F00">
        <w:rPr>
          <w:bCs/>
        </w:rPr>
        <w:t>Highway Authority as they</w:t>
      </w:r>
      <w:r w:rsidR="00E15311">
        <w:rPr>
          <w:bCs/>
        </w:rPr>
        <w:t xml:space="preserve"> are</w:t>
      </w:r>
      <w:r w:rsidR="00C23F00">
        <w:rPr>
          <w:bCs/>
        </w:rPr>
        <w:t xml:space="preserve"> generally considered to be under g</w:t>
      </w:r>
      <w:r w:rsidR="008D224C">
        <w:rPr>
          <w:bCs/>
        </w:rPr>
        <w:t xml:space="preserve">ood arboricultural management of the Highway Authority (in Oxford undertaken on behalf of </w:t>
      </w:r>
      <w:r w:rsidR="00C23F00">
        <w:rPr>
          <w:bCs/>
        </w:rPr>
        <w:t>Oxfordshire County Council b</w:t>
      </w:r>
      <w:r w:rsidR="008D224C">
        <w:rPr>
          <w:bCs/>
        </w:rPr>
        <w:t xml:space="preserve">y </w:t>
      </w:r>
      <w:r w:rsidR="008D224C">
        <w:rPr>
          <w:bCs/>
        </w:rPr>
        <w:lastRenderedPageBreak/>
        <w:t>Oxford Direct Services Tree Team)</w:t>
      </w:r>
      <w:r w:rsidR="00C23F00">
        <w:rPr>
          <w:bCs/>
        </w:rPr>
        <w:t>,</w:t>
      </w:r>
      <w:r w:rsidR="008D224C">
        <w:rPr>
          <w:bCs/>
        </w:rPr>
        <w:t xml:space="preserve"> these trees are privately owned</w:t>
      </w:r>
      <w:r w:rsidR="0052337F">
        <w:rPr>
          <w:bCs/>
        </w:rPr>
        <w:t>.</w:t>
      </w:r>
    </w:p>
    <w:p w14:paraId="5DACA0F0" w14:textId="77777777" w:rsidR="00016869" w:rsidRPr="008D224C" w:rsidRDefault="00016869" w:rsidP="00016869">
      <w:pPr>
        <w:ind w:right="397"/>
        <w:jc w:val="both"/>
        <w:rPr>
          <w:b/>
          <w:bCs/>
        </w:rPr>
      </w:pPr>
    </w:p>
    <w:p w14:paraId="42A70B7A" w14:textId="77777777" w:rsidR="009D600F" w:rsidRPr="00246A95" w:rsidRDefault="009D600F" w:rsidP="00246A95">
      <w:pPr>
        <w:numPr>
          <w:ilvl w:val="0"/>
          <w:numId w:val="1"/>
        </w:numPr>
        <w:ind w:right="397"/>
        <w:jc w:val="both"/>
        <w:rPr>
          <w:b/>
          <w:bCs/>
        </w:rPr>
      </w:pPr>
      <w:r>
        <w:rPr>
          <w:b/>
          <w:bCs/>
        </w:rPr>
        <w:t>Conclusion:</w:t>
      </w:r>
    </w:p>
    <w:p w14:paraId="1D701D91" w14:textId="11ABC8EE" w:rsidR="00246A95" w:rsidRDefault="00016869" w:rsidP="00BD47E4">
      <w:pPr>
        <w:numPr>
          <w:ilvl w:val="1"/>
          <w:numId w:val="1"/>
        </w:numPr>
        <w:ind w:right="397"/>
        <w:jc w:val="both"/>
        <w:rPr>
          <w:bCs/>
        </w:rPr>
      </w:pPr>
      <w:r>
        <w:rPr>
          <w:bCs/>
        </w:rPr>
        <w:t xml:space="preserve">For all the reasons in this report, and </w:t>
      </w:r>
      <w:r w:rsidR="003D11FA">
        <w:rPr>
          <w:bCs/>
        </w:rPr>
        <w:t xml:space="preserve">taking account of the </w:t>
      </w:r>
      <w:r>
        <w:rPr>
          <w:bCs/>
        </w:rPr>
        <w:t xml:space="preserve">objection </w:t>
      </w:r>
      <w:r w:rsidR="00694318">
        <w:rPr>
          <w:bCs/>
        </w:rPr>
        <w:t xml:space="preserve">received </w:t>
      </w:r>
      <w:r w:rsidR="00E15311">
        <w:rPr>
          <w:bCs/>
        </w:rPr>
        <w:t>in respect of</w:t>
      </w:r>
      <w:r>
        <w:rPr>
          <w:bCs/>
        </w:rPr>
        <w:t xml:space="preserve"> the protection of the cedar tree, T.2, it </w:t>
      </w:r>
      <w:r w:rsidR="00E93109" w:rsidRPr="00E93109">
        <w:rPr>
          <w:bCs/>
        </w:rPr>
        <w:t xml:space="preserve">is </w:t>
      </w:r>
      <w:r>
        <w:rPr>
          <w:bCs/>
        </w:rPr>
        <w:t xml:space="preserve">considered to be </w:t>
      </w:r>
      <w:r w:rsidR="00E93109" w:rsidRPr="00E93109">
        <w:rPr>
          <w:bCs/>
        </w:rPr>
        <w:t xml:space="preserve">expedient in the interests of amenity for </w:t>
      </w:r>
      <w:r w:rsidR="00E93109">
        <w:rPr>
          <w:bCs/>
        </w:rPr>
        <w:t>the Council to use its powers to confirm the Oxford City Council – Hawkswell Gardens (No.2) TPO, 2020</w:t>
      </w:r>
      <w:r w:rsidR="003D11FA">
        <w:rPr>
          <w:bCs/>
        </w:rPr>
        <w:t xml:space="preserve">, without modification, </w:t>
      </w:r>
      <w:r w:rsidR="00E93109">
        <w:rPr>
          <w:bCs/>
        </w:rPr>
        <w:t xml:space="preserve">to protect the copper beech and cedar trees </w:t>
      </w:r>
      <w:r w:rsidR="00694318">
        <w:rPr>
          <w:bCs/>
        </w:rPr>
        <w:t xml:space="preserve">growing on land </w:t>
      </w:r>
      <w:r w:rsidR="00E93109">
        <w:rPr>
          <w:bCs/>
        </w:rPr>
        <w:t xml:space="preserve">at Hawkswell Gardens near the junction with Kings Cross Road. </w:t>
      </w:r>
    </w:p>
    <w:p w14:paraId="712AF9C5" w14:textId="77777777" w:rsidR="00016869" w:rsidRPr="00E93109" w:rsidRDefault="00016869" w:rsidP="00016869">
      <w:pPr>
        <w:ind w:right="397"/>
        <w:jc w:val="both"/>
        <w:rPr>
          <w:bCs/>
        </w:rPr>
      </w:pPr>
    </w:p>
    <w:p w14:paraId="18BD0051" w14:textId="77777777" w:rsidR="009D600F" w:rsidRDefault="009D600F" w:rsidP="00BD47E4">
      <w:pPr>
        <w:numPr>
          <w:ilvl w:val="0"/>
          <w:numId w:val="1"/>
        </w:numPr>
        <w:ind w:right="397"/>
        <w:jc w:val="both"/>
        <w:rPr>
          <w:b/>
        </w:rPr>
      </w:pPr>
      <w:r w:rsidRPr="00BD47E4">
        <w:rPr>
          <w:b/>
        </w:rPr>
        <w:t>Human Rights Act 1998</w:t>
      </w:r>
    </w:p>
    <w:p w14:paraId="25C1DFBF" w14:textId="12F646ED" w:rsidR="00BD47E4" w:rsidRDefault="00BD47E4" w:rsidP="00BD47E4">
      <w:pPr>
        <w:numPr>
          <w:ilvl w:val="1"/>
          <w:numId w:val="1"/>
        </w:numPr>
      </w:pPr>
      <w:r w:rsidRPr="00BD47E4">
        <w:t xml:space="preserve">Officers have considered the implications of the Human Rights Act 1998 in reaching a recommendation to </w:t>
      </w:r>
      <w:r>
        <w:t>confirm this TPO</w:t>
      </w:r>
      <w:r w:rsidRPr="00BD47E4">
        <w:t xml:space="preserve">. They consider that the interference with the human rights of the </w:t>
      </w:r>
      <w:r w:rsidR="00E15311">
        <w:t>owner of the trees and the owners and occupiers of neighbouring properties</w:t>
      </w:r>
      <w:r w:rsidRPr="00BD47E4">
        <w:t xml:space="preserve"> under Article 8/Article 1 of Protocol 1 is justifiable and proportionate for the protection of the rights and freedom of others </w:t>
      </w:r>
      <w:r w:rsidR="00E15311">
        <w:t>and</w:t>
      </w:r>
      <w:r w:rsidRPr="00BD47E4">
        <w:t xml:space="preserve"> the control of his/her property in this way is in accordance with the general interest.</w:t>
      </w:r>
    </w:p>
    <w:p w14:paraId="19B15E55" w14:textId="77777777" w:rsidR="00384C42" w:rsidRPr="00BD47E4" w:rsidRDefault="00384C42" w:rsidP="00384C42">
      <w:pPr>
        <w:ind w:left="360"/>
      </w:pPr>
    </w:p>
    <w:p w14:paraId="447CA258" w14:textId="77777777" w:rsidR="009D600F" w:rsidRDefault="009D600F" w:rsidP="00BD47E4">
      <w:pPr>
        <w:numPr>
          <w:ilvl w:val="0"/>
          <w:numId w:val="1"/>
        </w:numPr>
        <w:rPr>
          <w:b/>
        </w:rPr>
      </w:pPr>
      <w:r w:rsidRPr="00BD47E4">
        <w:rPr>
          <w:b/>
        </w:rPr>
        <w:t>Section 17 of the Crime and Disorder Act 1998</w:t>
      </w:r>
    </w:p>
    <w:p w14:paraId="7C6CDE09" w14:textId="540FBF5E" w:rsidR="00BD47E4" w:rsidRDefault="00BD47E4" w:rsidP="00BD47E4">
      <w:pPr>
        <w:pStyle w:val="PARAGRAPHA"/>
        <w:numPr>
          <w:ilvl w:val="1"/>
          <w:numId w:val="1"/>
        </w:numPr>
      </w:pPr>
      <w:r>
        <w:t xml:space="preserve">Officers have considered, with due regard, the likely effect of the TPO on the need to reduce crime and disorder as part of the </w:t>
      </w:r>
      <w:r w:rsidR="00E15311">
        <w:t>decision of whether to confirm the order</w:t>
      </w:r>
      <w:r>
        <w:t xml:space="preserve">, in accordance with section 17 of the Crime and Disorder Act 1998. In reaching a recommendation to confirm the TPO, officers consider that the </w:t>
      </w:r>
      <w:r w:rsidR="00E15311">
        <w:t>decision</w:t>
      </w:r>
      <w:r>
        <w:t xml:space="preserve"> will not undermine crime prevention or the promotion of community.</w:t>
      </w:r>
    </w:p>
    <w:p w14:paraId="778EF7D3" w14:textId="77777777" w:rsidR="009D600F" w:rsidRDefault="009D600F">
      <w:pPr>
        <w:ind w:right="397"/>
        <w:jc w:val="both"/>
        <w:rPr>
          <w:b/>
          <w:bCs/>
        </w:rPr>
      </w:pPr>
      <w:r>
        <w:rPr>
          <w:b/>
          <w:bCs/>
        </w:rPr>
        <w:t xml:space="preserve">Background Papers: </w:t>
      </w:r>
    </w:p>
    <w:p w14:paraId="42C663E5" w14:textId="77777777" w:rsidR="009D600F" w:rsidRDefault="009D600F">
      <w:pPr>
        <w:ind w:right="397"/>
        <w:jc w:val="both"/>
      </w:pPr>
    </w:p>
    <w:p w14:paraId="4FF326FA" w14:textId="77777777" w:rsidR="009D600F" w:rsidRDefault="009D600F">
      <w:r>
        <w:rPr>
          <w:b/>
          <w:bCs/>
        </w:rPr>
        <w:t xml:space="preserve">Contact Officer: </w:t>
      </w:r>
      <w:r>
        <w:t xml:space="preserve">Kevin </w:t>
      </w:r>
      <w:proofErr w:type="spellStart"/>
      <w:r>
        <w:t>Caldicott</w:t>
      </w:r>
      <w:proofErr w:type="spellEnd"/>
    </w:p>
    <w:p w14:paraId="3E2B160B" w14:textId="77777777" w:rsidR="009D600F" w:rsidRDefault="009D600F">
      <w:r>
        <w:rPr>
          <w:b/>
          <w:bCs/>
        </w:rPr>
        <w:lastRenderedPageBreak/>
        <w:t xml:space="preserve">Extension: </w:t>
      </w:r>
      <w:r>
        <w:t>2149</w:t>
      </w:r>
    </w:p>
    <w:p w14:paraId="15F979F1" w14:textId="21314410" w:rsidR="009D600F" w:rsidRDefault="009D600F">
      <w:r>
        <w:rPr>
          <w:b/>
          <w:bCs/>
        </w:rPr>
        <w:t xml:space="preserve">Date: </w:t>
      </w:r>
      <w:r w:rsidR="00AE39CF">
        <w:t>23</w:t>
      </w:r>
      <w:r w:rsidR="00AE39CF" w:rsidRPr="00AE39CF">
        <w:rPr>
          <w:vertAlign w:val="superscript"/>
        </w:rPr>
        <w:t>rd</w:t>
      </w:r>
      <w:r w:rsidR="00AE39CF">
        <w:t xml:space="preserve"> </w:t>
      </w:r>
      <w:bookmarkStart w:id="0" w:name="_GoBack"/>
      <w:bookmarkEnd w:id="0"/>
      <w:r>
        <w:t>February 2021</w:t>
      </w:r>
    </w:p>
    <w:sectPr w:rsidR="009D600F">
      <w:pgSz w:w="11909" w:h="16834" w:code="9"/>
      <w:pgMar w:top="1418" w:right="1418" w:bottom="1418" w:left="1418" w:header="709" w:footer="709" w:gutter="0"/>
      <w:paperSrc w:first="261" w:other="26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DB1D1" w14:textId="77777777" w:rsidR="00AE6A96" w:rsidRDefault="00AE6A96">
      <w:r>
        <w:separator/>
      </w:r>
    </w:p>
  </w:endnote>
  <w:endnote w:type="continuationSeparator" w:id="0">
    <w:p w14:paraId="1D42D75D" w14:textId="77777777" w:rsidR="00AE6A96" w:rsidRDefault="00AE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6CA85" w14:textId="77777777" w:rsidR="00AE6A96" w:rsidRDefault="00AE6A96">
      <w:r>
        <w:separator/>
      </w:r>
    </w:p>
  </w:footnote>
  <w:footnote w:type="continuationSeparator" w:id="0">
    <w:p w14:paraId="6D0BF570" w14:textId="77777777" w:rsidR="00AE6A96" w:rsidRDefault="00AE6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81E8E"/>
    <w:multiLevelType w:val="multilevel"/>
    <w:tmpl w:val="B7526A2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35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58DC2F42"/>
    <w:multiLevelType w:val="multilevel"/>
    <w:tmpl w:val="E9A050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62"/>
    <w:rsid w:val="00016869"/>
    <w:rsid w:val="00060C0F"/>
    <w:rsid w:val="000A17F8"/>
    <w:rsid w:val="000C7C4B"/>
    <w:rsid w:val="00246A95"/>
    <w:rsid w:val="002C1305"/>
    <w:rsid w:val="00321E2F"/>
    <w:rsid w:val="00366DAC"/>
    <w:rsid w:val="00384C42"/>
    <w:rsid w:val="003D11FA"/>
    <w:rsid w:val="003E7B43"/>
    <w:rsid w:val="003F2FF0"/>
    <w:rsid w:val="00430A8A"/>
    <w:rsid w:val="00496831"/>
    <w:rsid w:val="0051511A"/>
    <w:rsid w:val="0052337F"/>
    <w:rsid w:val="005A6362"/>
    <w:rsid w:val="00694318"/>
    <w:rsid w:val="006A61C4"/>
    <w:rsid w:val="006C454B"/>
    <w:rsid w:val="006C513E"/>
    <w:rsid w:val="00705CC7"/>
    <w:rsid w:val="007B7563"/>
    <w:rsid w:val="007D2A22"/>
    <w:rsid w:val="00801A3A"/>
    <w:rsid w:val="0083132B"/>
    <w:rsid w:val="00867F8F"/>
    <w:rsid w:val="00870CFA"/>
    <w:rsid w:val="008D221C"/>
    <w:rsid w:val="008D224C"/>
    <w:rsid w:val="00907B12"/>
    <w:rsid w:val="00915834"/>
    <w:rsid w:val="009307BD"/>
    <w:rsid w:val="009D600F"/>
    <w:rsid w:val="00A512C9"/>
    <w:rsid w:val="00A71DAB"/>
    <w:rsid w:val="00A76130"/>
    <w:rsid w:val="00AD54DD"/>
    <w:rsid w:val="00AE39CF"/>
    <w:rsid w:val="00AE6A96"/>
    <w:rsid w:val="00B74048"/>
    <w:rsid w:val="00BD47E4"/>
    <w:rsid w:val="00C23F00"/>
    <w:rsid w:val="00CA3968"/>
    <w:rsid w:val="00D17DEA"/>
    <w:rsid w:val="00D26CAD"/>
    <w:rsid w:val="00E15311"/>
    <w:rsid w:val="00E21E7E"/>
    <w:rsid w:val="00E35B2D"/>
    <w:rsid w:val="00E607D4"/>
    <w:rsid w:val="00E93109"/>
    <w:rsid w:val="00F8325B"/>
    <w:rsid w:val="00FD7222"/>
    <w:rsid w:val="00FF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F4DEF"/>
  <w14:defaultImageDpi w14:val="0"/>
  <w15:docId w15:val="{53CF8F56-11FB-4F1C-97DB-6108CA0E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pPr>
      <w:keepNext/>
      <w:outlineLvl w:val="0"/>
    </w:pPr>
    <w:rPr>
      <w:rFonts w:eastAsia="Arial Unicode MS"/>
      <w:b/>
      <w:bCs/>
      <w:u w:val="single"/>
    </w:rPr>
  </w:style>
  <w:style w:type="paragraph" w:styleId="Heading2">
    <w:name w:val="heading 2"/>
    <w:basedOn w:val="Normal"/>
    <w:next w:val="Normal"/>
    <w:link w:val="Heading2Char"/>
    <w:uiPriority w:val="99"/>
    <w:qFormat/>
    <w:pPr>
      <w:keepNext/>
      <w:widowControl/>
      <w:adjustRightInd/>
      <w:outlineLvl w:val="1"/>
    </w:pPr>
    <w:rPr>
      <w:rFonts w:eastAsia="Arial Unicode MS"/>
      <w:b/>
      <w:bCs/>
      <w:lang w:val="en-GB"/>
    </w:rPr>
  </w:style>
  <w:style w:type="paragraph" w:styleId="Heading3">
    <w:name w:val="heading 3"/>
    <w:basedOn w:val="Normal"/>
    <w:next w:val="Normal"/>
    <w:link w:val="Heading3Char"/>
    <w:uiPriority w:val="99"/>
    <w:qFormat/>
    <w:pPr>
      <w:keepNext/>
      <w:ind w:right="397"/>
      <w:jc w:val="both"/>
      <w:outlineLvl w:val="2"/>
    </w:pPr>
    <w:rPr>
      <w:b/>
      <w:bCs/>
      <w:color w:val="FF0000"/>
    </w:rPr>
  </w:style>
  <w:style w:type="paragraph" w:styleId="Heading4">
    <w:name w:val="heading 4"/>
    <w:basedOn w:val="Normal"/>
    <w:next w:val="Normal"/>
    <w:link w:val="Heading4Char"/>
    <w:uiPriority w:val="99"/>
    <w:qFormat/>
    <w:pPr>
      <w:keepNext/>
      <w:widowControl/>
      <w:ind w:right="39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cs="Times New Roman"/>
      <w:b/>
      <w:bCs/>
      <w:sz w:val="28"/>
      <w:szCs w:val="28"/>
      <w:lang w:val="en-US" w:eastAsia="en-US"/>
    </w:rPr>
  </w:style>
  <w:style w:type="paragraph" w:styleId="BlockText">
    <w:name w:val="Block Text"/>
    <w:basedOn w:val="Normal"/>
    <w:uiPriority w:val="99"/>
    <w:pPr>
      <w:widowControl/>
      <w:tabs>
        <w:tab w:val="left" w:pos="576"/>
        <w:tab w:val="left" w:pos="1152"/>
        <w:tab w:val="left" w:pos="1728"/>
        <w:tab w:val="left" w:pos="2304"/>
      </w:tabs>
      <w:overflowPunct w:val="0"/>
      <w:spacing w:line="240" w:lineRule="atLeast"/>
      <w:ind w:left="576" w:right="-843" w:hanging="576"/>
    </w:pPr>
    <w:rPr>
      <w:lang w:val="en-GB"/>
    </w:rPr>
  </w:style>
  <w:style w:type="paragraph" w:styleId="BodyText">
    <w:name w:val="Body Text"/>
    <w:basedOn w:val="Normal"/>
    <w:link w:val="BodyTextChar"/>
    <w:uiPriority w:val="99"/>
    <w:pPr>
      <w:overflowPunct w:val="0"/>
      <w:spacing w:line="240" w:lineRule="atLeast"/>
      <w:ind w:right="-843"/>
    </w:p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odyText2">
    <w:name w:val="Body Text 2"/>
    <w:basedOn w:val="Normal"/>
    <w:link w:val="BodyText2Char"/>
    <w:uiPriority w:val="99"/>
    <w:pPr>
      <w:adjustRightInd/>
      <w:jc w:val="both"/>
    </w:pPr>
    <w:rPr>
      <w:lang w:val="en-GB"/>
    </w:rPr>
  </w:style>
  <w:style w:type="character" w:customStyle="1" w:styleId="BodyText2Char">
    <w:name w:val="Body Text 2 Char"/>
    <w:basedOn w:val="DefaultParagraphFont"/>
    <w:link w:val="BodyText2"/>
    <w:uiPriority w:val="99"/>
    <w:semiHidden/>
    <w:locked/>
    <w:rPr>
      <w:rFonts w:ascii="Arial" w:hAnsi="Arial" w:cs="Arial"/>
      <w:sz w:val="24"/>
      <w:szCs w:val="24"/>
      <w:lang w:val="en-US" w:eastAsia="en-US"/>
    </w:rPr>
  </w:style>
  <w:style w:type="paragraph" w:customStyle="1" w:styleId="HEADINGA">
    <w:name w:val="HEADING A"/>
    <w:basedOn w:val="Normal"/>
    <w:qFormat/>
    <w:rsid w:val="00BD47E4"/>
    <w:pPr>
      <w:widowControl/>
      <w:numPr>
        <w:numId w:val="2"/>
      </w:numPr>
      <w:adjustRightInd/>
      <w:spacing w:after="240"/>
    </w:pPr>
    <w:rPr>
      <w:b/>
      <w:lang w:val="en-GB"/>
    </w:rPr>
  </w:style>
  <w:style w:type="paragraph" w:customStyle="1" w:styleId="PARAGRAPHA">
    <w:name w:val="PARAGRAPH A"/>
    <w:basedOn w:val="Normal"/>
    <w:link w:val="PARAGRAPHAChar"/>
    <w:qFormat/>
    <w:rsid w:val="00BD47E4"/>
    <w:pPr>
      <w:widowControl/>
      <w:numPr>
        <w:ilvl w:val="1"/>
        <w:numId w:val="2"/>
      </w:numPr>
      <w:adjustRightInd/>
      <w:spacing w:after="240"/>
      <w:jc w:val="both"/>
    </w:pPr>
    <w:rPr>
      <w:lang w:val="en-GB"/>
    </w:rPr>
  </w:style>
  <w:style w:type="character" w:customStyle="1" w:styleId="PARAGRAPHAChar">
    <w:name w:val="PARAGRAPH A Char"/>
    <w:link w:val="PARAGRAPHA"/>
    <w:locked/>
    <w:rsid w:val="00BD47E4"/>
    <w:rPr>
      <w:rFonts w:ascii="Arial" w:hAnsi="Arial"/>
      <w:sz w:val="24"/>
      <w:lang w:val="x-none" w:eastAsia="en-US"/>
    </w:rPr>
  </w:style>
  <w:style w:type="paragraph" w:customStyle="1" w:styleId="PARAGRAPHB">
    <w:name w:val="PARAGRAPH B"/>
    <w:basedOn w:val="Normal"/>
    <w:qFormat/>
    <w:rsid w:val="00BD47E4"/>
    <w:pPr>
      <w:numPr>
        <w:ilvl w:val="2"/>
        <w:numId w:val="2"/>
      </w:numPr>
      <w:adjustRightInd/>
      <w:spacing w:after="240"/>
      <w:jc w:val="both"/>
    </w:pPr>
    <w:rPr>
      <w:bCs/>
      <w:lang w:val="en-GB"/>
    </w:rPr>
  </w:style>
  <w:style w:type="paragraph" w:styleId="ListParagraph">
    <w:name w:val="List Paragraph"/>
    <w:basedOn w:val="Normal"/>
    <w:uiPriority w:val="34"/>
    <w:qFormat/>
    <w:rsid w:val="00321E2F"/>
    <w:pPr>
      <w:ind w:left="720"/>
    </w:pPr>
  </w:style>
  <w:style w:type="character" w:styleId="CommentReference">
    <w:name w:val="annotation reference"/>
    <w:basedOn w:val="DefaultParagraphFont"/>
    <w:uiPriority w:val="99"/>
    <w:semiHidden/>
    <w:unhideWhenUsed/>
    <w:rsid w:val="00E607D4"/>
    <w:rPr>
      <w:rFonts w:cs="Times New Roman"/>
      <w:sz w:val="16"/>
      <w:szCs w:val="16"/>
    </w:rPr>
  </w:style>
  <w:style w:type="paragraph" w:styleId="CommentText">
    <w:name w:val="annotation text"/>
    <w:basedOn w:val="Normal"/>
    <w:link w:val="CommentTextChar"/>
    <w:uiPriority w:val="99"/>
    <w:semiHidden/>
    <w:unhideWhenUsed/>
    <w:rsid w:val="00E607D4"/>
    <w:rPr>
      <w:sz w:val="20"/>
      <w:szCs w:val="20"/>
    </w:rPr>
  </w:style>
  <w:style w:type="character" w:customStyle="1" w:styleId="CommentTextChar">
    <w:name w:val="Comment Text Char"/>
    <w:basedOn w:val="DefaultParagraphFont"/>
    <w:link w:val="CommentText"/>
    <w:uiPriority w:val="99"/>
    <w:semiHidden/>
    <w:locked/>
    <w:rsid w:val="00E607D4"/>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E607D4"/>
    <w:rPr>
      <w:b/>
      <w:bCs/>
    </w:rPr>
  </w:style>
  <w:style w:type="character" w:customStyle="1" w:styleId="CommentSubjectChar">
    <w:name w:val="Comment Subject Char"/>
    <w:basedOn w:val="CommentTextChar"/>
    <w:link w:val="CommentSubject"/>
    <w:uiPriority w:val="99"/>
    <w:semiHidden/>
    <w:locked/>
    <w:rsid w:val="00E607D4"/>
    <w:rPr>
      <w:rFonts w:ascii="Arial" w:hAnsi="Arial" w:cs="Arial"/>
      <w:b/>
      <w:bCs/>
      <w:sz w:val="20"/>
      <w:szCs w:val="20"/>
      <w:lang w:val="en-US" w:eastAsia="en-US"/>
    </w:rPr>
  </w:style>
  <w:style w:type="paragraph" w:styleId="BalloonText">
    <w:name w:val="Balloon Text"/>
    <w:basedOn w:val="Normal"/>
    <w:link w:val="BalloonTextChar"/>
    <w:uiPriority w:val="99"/>
    <w:semiHidden/>
    <w:unhideWhenUsed/>
    <w:rsid w:val="00E607D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7D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1D9D108C</Template>
  <TotalTime>0</TotalTime>
  <Pages>5</Pages>
  <Words>2004</Words>
  <Characters>9982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FOWLER Robert</cp:lastModifiedBy>
  <cp:revision>2</cp:revision>
  <dcterms:created xsi:type="dcterms:W3CDTF">2021-02-23T20:40:00Z</dcterms:created>
  <dcterms:modified xsi:type="dcterms:W3CDTF">2021-02-23T20:40:00Z</dcterms:modified>
</cp:coreProperties>
</file>